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1FF2" w:rsidRDefault="0070248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5048250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9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41FF2" w:rsidRDefault="00841FF2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397.5pt;margin-top:5.25pt;width:73pt;height:6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" filled="f" strokecolor="#395e89" strokeweight="1.25pt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:rsidR="00841FF2" w:rsidRDefault="00841FF2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841FF2">
        <w:trPr>
          <w:trHeight w:val="200"/>
        </w:trPr>
        <w:tc>
          <w:tcPr>
            <w:tcW w:w="1555" w:type="dxa"/>
          </w:tcPr>
          <w:p w:rsidR="00841FF2" w:rsidRPr="00020B7B" w:rsidRDefault="00702489">
            <w:pPr>
              <w:pStyle w:val="Overskrift1"/>
              <w:spacing w:before="0" w:after="120"/>
              <w:outlineLvl w:val="0"/>
              <w:rPr>
                <w:color w:val="1F497D" w:themeColor="text2"/>
              </w:rPr>
            </w:pPr>
            <w:r w:rsidRPr="00020B7B">
              <w:rPr>
                <w:rFonts w:ascii="Calibri" w:eastAsia="Calibri" w:hAnsi="Calibri" w:cs="Calibri"/>
                <w:color w:val="1F497D" w:themeColor="text2"/>
                <w:sz w:val="32"/>
                <w:szCs w:val="32"/>
              </w:rPr>
              <w:t xml:space="preserve">Titel: </w:t>
            </w:r>
          </w:p>
        </w:tc>
        <w:tc>
          <w:tcPr>
            <w:tcW w:w="5811" w:type="dxa"/>
          </w:tcPr>
          <w:p w:rsidR="00841FF2" w:rsidRPr="00020B7B" w:rsidRDefault="00D5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F497D" w:themeColor="text2"/>
                <w:sz w:val="32"/>
                <w:szCs w:val="32"/>
              </w:rPr>
            </w:pPr>
            <w:r w:rsidRPr="00020B7B">
              <w:rPr>
                <w:b/>
                <w:color w:val="1F497D" w:themeColor="text2"/>
                <w:sz w:val="32"/>
                <w:szCs w:val="32"/>
              </w:rPr>
              <w:t>Cloudboy</w:t>
            </w:r>
          </w:p>
        </w:tc>
        <w:tc>
          <w:tcPr>
            <w:tcW w:w="2262" w:type="dxa"/>
            <w:vMerge w:val="restart"/>
          </w:tcPr>
          <w:p w:rsidR="00841FF2" w:rsidRDefault="009E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E6937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59690</wp:posOffset>
                  </wp:positionH>
                  <wp:positionV relativeFrom="paragraph">
                    <wp:posOffset>-288290</wp:posOffset>
                  </wp:positionV>
                  <wp:extent cx="1514475" cy="1025934"/>
                  <wp:effectExtent l="0" t="0" r="0" b="3175"/>
                  <wp:wrapNone/>
                  <wp:docPr id="4" name="Billede 4" descr="QR K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 K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2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1FF2" w:rsidRDefault="0084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41FF2" w:rsidRDefault="0084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41FF2" w:rsidRDefault="0084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41FF2" w:rsidRDefault="0084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41FF2" w:rsidRDefault="0084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1FF2">
        <w:trPr>
          <w:trHeight w:val="200"/>
        </w:trPr>
        <w:tc>
          <w:tcPr>
            <w:tcW w:w="1555" w:type="dxa"/>
          </w:tcPr>
          <w:p w:rsidR="00841FF2" w:rsidRDefault="0070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Tema:</w:t>
            </w:r>
          </w:p>
        </w:tc>
        <w:tc>
          <w:tcPr>
            <w:tcW w:w="5811" w:type="dxa"/>
          </w:tcPr>
          <w:p w:rsidR="00841FF2" w:rsidRDefault="00D523F3" w:rsidP="0049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Identitet, selvtillid, forældre og børn, </w:t>
            </w:r>
            <w:r w:rsidR="00FF4FAF">
              <w:rPr>
                <w:color w:val="000000"/>
              </w:rPr>
              <w:t xml:space="preserve">opvækst, </w:t>
            </w:r>
            <w:r w:rsidR="00490B5D">
              <w:rPr>
                <w:color w:val="000000"/>
              </w:rPr>
              <w:t>kulturforskelle, kulturmøde, person og- miljøkarakteristik</w:t>
            </w:r>
          </w:p>
        </w:tc>
        <w:tc>
          <w:tcPr>
            <w:tcW w:w="2262" w:type="dxa"/>
            <w:vMerge/>
          </w:tcPr>
          <w:p w:rsidR="00841FF2" w:rsidRDefault="0084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1FF2">
        <w:trPr>
          <w:trHeight w:val="200"/>
        </w:trPr>
        <w:tc>
          <w:tcPr>
            <w:tcW w:w="1555" w:type="dxa"/>
          </w:tcPr>
          <w:p w:rsidR="00841FF2" w:rsidRDefault="0070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Fag:  </w:t>
            </w:r>
          </w:p>
        </w:tc>
        <w:tc>
          <w:tcPr>
            <w:tcW w:w="5811" w:type="dxa"/>
          </w:tcPr>
          <w:p w:rsidR="00841FF2" w:rsidRDefault="00FF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Dansk</w:t>
            </w:r>
          </w:p>
        </w:tc>
        <w:tc>
          <w:tcPr>
            <w:tcW w:w="2262" w:type="dxa"/>
            <w:vMerge/>
          </w:tcPr>
          <w:p w:rsidR="00841FF2" w:rsidRDefault="0084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1FF2">
        <w:trPr>
          <w:trHeight w:val="200"/>
        </w:trPr>
        <w:tc>
          <w:tcPr>
            <w:tcW w:w="1555" w:type="dxa"/>
          </w:tcPr>
          <w:p w:rsidR="00841FF2" w:rsidRDefault="0070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Målgruppe:</w:t>
            </w:r>
          </w:p>
        </w:tc>
        <w:tc>
          <w:tcPr>
            <w:tcW w:w="5811" w:type="dxa"/>
          </w:tcPr>
          <w:p w:rsidR="00841FF2" w:rsidRDefault="0023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90B5D">
              <w:rPr>
                <w:color w:val="000000"/>
              </w:rPr>
              <w:t>.-6. klassetrin</w:t>
            </w:r>
          </w:p>
        </w:tc>
        <w:tc>
          <w:tcPr>
            <w:tcW w:w="2262" w:type="dxa"/>
            <w:vMerge/>
          </w:tcPr>
          <w:p w:rsidR="00841FF2" w:rsidRDefault="0084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1FF2">
        <w:tc>
          <w:tcPr>
            <w:tcW w:w="1555" w:type="dxa"/>
          </w:tcPr>
          <w:p w:rsidR="00841FF2" w:rsidRDefault="0084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841FF2" w:rsidRDefault="0084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:rsidR="00841FF2" w:rsidRDefault="0084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1FF2">
        <w:trPr>
          <w:trHeight w:val="10040"/>
        </w:trPr>
        <w:tc>
          <w:tcPr>
            <w:tcW w:w="1555" w:type="dxa"/>
          </w:tcPr>
          <w:p w:rsidR="00841FF2" w:rsidRDefault="0084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</w:p>
        </w:tc>
        <w:tc>
          <w:tcPr>
            <w:tcW w:w="8073" w:type="dxa"/>
            <w:gridSpan w:val="2"/>
          </w:tcPr>
          <w:p w:rsidR="002330DA" w:rsidRDefault="00702489">
            <w:r>
              <w:rPr>
                <w:b/>
              </w:rPr>
              <w:t>Spillefilm:</w:t>
            </w:r>
            <w:r w:rsidR="00490B5D">
              <w:t xml:space="preserve"> 78 min., 2014, distribueret af Bright Films</w:t>
            </w:r>
          </w:p>
          <w:p w:rsidR="002330DA" w:rsidRDefault="002330DA">
            <w:bookmarkStart w:id="1" w:name="_GoBack"/>
            <w:bookmarkEnd w:id="1"/>
          </w:p>
          <w:p w:rsidR="002330DA" w:rsidRDefault="002330DA" w:rsidP="002330DA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:rsidR="00056BC8" w:rsidRDefault="002330DA" w:rsidP="002330DA">
            <w:r>
              <w:t xml:space="preserve">Der arbejdes i faget dansk med kompetenceområdet </w:t>
            </w:r>
            <w:r w:rsidR="00F83213">
              <w:rPr>
                <w:b/>
              </w:rPr>
              <w:t>F</w:t>
            </w:r>
            <w:r w:rsidRPr="00F83213">
              <w:rPr>
                <w:b/>
              </w:rPr>
              <w:t>ortolkning</w:t>
            </w:r>
            <w:r w:rsidR="00F83213">
              <w:t xml:space="preserve"> og kompetencemålet: </w:t>
            </w:r>
          </w:p>
          <w:p w:rsidR="00F83213" w:rsidRDefault="00F83213" w:rsidP="002330DA">
            <w:r w:rsidRPr="00F83213">
              <w:rPr>
                <w:b/>
              </w:rPr>
              <w:t>Eleven kan forholde sig til almene temaer gennem en systematisk undersøgelse af litteratur og andre æstetiske tekster.</w:t>
            </w:r>
            <w:r>
              <w:t xml:space="preserve"> </w:t>
            </w:r>
          </w:p>
          <w:p w:rsidR="00056BC8" w:rsidRDefault="00056BC8" w:rsidP="002330DA"/>
          <w:p w:rsidR="00655A66" w:rsidRDefault="00EB0C2B">
            <w:r>
              <w:t>Den</w:t>
            </w:r>
            <w:r w:rsidR="00056BC8" w:rsidRPr="00056BC8">
              <w:t xml:space="preserve"> pædagogiske vejledning kommer især med ideer til arbejdet med filmens person- og miljøbeskrivelser samt filmens dramaturgi (kontraktmodellen). </w:t>
            </w:r>
          </w:p>
          <w:p w:rsidR="00655A66" w:rsidRDefault="00655A66"/>
          <w:p w:rsidR="002330DA" w:rsidRDefault="002330DA">
            <w:r>
              <w:t xml:space="preserve"> </w:t>
            </w:r>
            <w:r w:rsidR="00655A66">
              <w:rPr>
                <w:noProof/>
              </w:rPr>
              <w:drawing>
                <wp:inline distT="0" distB="0" distL="0" distR="0" wp14:anchorId="72FCCA08">
                  <wp:extent cx="5004079" cy="1447007"/>
                  <wp:effectExtent l="0" t="0" r="6350" b="127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574" cy="1455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5A66" w:rsidRDefault="00655A66"/>
          <w:p w:rsidR="00655A66" w:rsidRDefault="00655A66"/>
          <w:p w:rsidR="0047427D" w:rsidRDefault="00636FD5">
            <w:r>
              <w:t>Hovedvægten</w:t>
            </w:r>
            <w:r w:rsidR="004A5527">
              <w:t xml:space="preserve"> i</w:t>
            </w:r>
            <w:r w:rsidR="00C7665F">
              <w:t xml:space="preserve"> arbejde</w:t>
            </w:r>
            <w:r w:rsidR="004A5527">
              <w:t>t med disse ideer</w:t>
            </w:r>
            <w:r w:rsidR="00587AB4">
              <w:t xml:space="preserve"> er</w:t>
            </w:r>
            <w:r w:rsidR="004368B9">
              <w:t>,</w:t>
            </w:r>
            <w:r w:rsidR="0027400D">
              <w:t xml:space="preserve"> at eleverne skal undersøge og analysere</w:t>
            </w:r>
            <w:r w:rsidR="004368B9">
              <w:t xml:space="preserve"> hovedpersonen </w:t>
            </w:r>
            <w:proofErr w:type="spellStart"/>
            <w:r w:rsidR="004368B9">
              <w:t>Niilas</w:t>
            </w:r>
            <w:proofErr w:type="spellEnd"/>
            <w:r w:rsidR="004368B9">
              <w:t xml:space="preserve"> udvikling</w:t>
            </w:r>
            <w:r w:rsidR="00523DFF">
              <w:t xml:space="preserve"> fra en</w:t>
            </w:r>
            <w:r w:rsidR="004368B9">
              <w:t xml:space="preserve"> usikker</w:t>
            </w:r>
            <w:r w:rsidR="00523DFF">
              <w:t xml:space="preserve"> dreng</w:t>
            </w:r>
            <w:r w:rsidR="002A1DDB">
              <w:t xml:space="preserve"> uden selvtillid til en handlekraftig og modig dreng.</w:t>
            </w:r>
            <w:r w:rsidR="00D64A12">
              <w:t xml:space="preserve"> </w:t>
            </w:r>
            <w:r w:rsidR="004A5527">
              <w:t>D</w:t>
            </w:r>
            <w:r w:rsidR="002B791C">
              <w:t xml:space="preserve">er </w:t>
            </w:r>
            <w:r w:rsidR="004A5527">
              <w:t xml:space="preserve">er </w:t>
            </w:r>
            <w:r w:rsidR="00C7665F" w:rsidRPr="00C7665F">
              <w:t>udarbejdet et kapitelsæt til filmen</w:t>
            </w:r>
            <w:r w:rsidR="00587AB4">
              <w:t>, hvor d</w:t>
            </w:r>
            <w:r w:rsidR="0047427D">
              <w:t>e</w:t>
            </w:r>
            <w:r w:rsidR="00E37CF5">
              <w:t xml:space="preserve"> enkelte kapitler kommer med</w:t>
            </w:r>
            <w:r w:rsidR="0047427D" w:rsidRPr="0047427D">
              <w:t xml:space="preserve"> forslag til konkrete spørgsmål, som man </w:t>
            </w:r>
            <w:r w:rsidR="0047427D">
              <w:t xml:space="preserve">i den forbindelse kan stille </w:t>
            </w:r>
            <w:r w:rsidR="0047427D" w:rsidRPr="0047427D">
              <w:t>til eleverne</w:t>
            </w:r>
            <w:r w:rsidR="002F1226">
              <w:t>. Spørgsmålene inddrager</w:t>
            </w:r>
            <w:r w:rsidR="0047427D">
              <w:t xml:space="preserve"> </w:t>
            </w:r>
            <w:r w:rsidR="00056454">
              <w:t>enkelte</w:t>
            </w:r>
            <w:r w:rsidR="00E37CF5">
              <w:t xml:space="preserve"> steder </w:t>
            </w:r>
            <w:r w:rsidR="0047427D">
              <w:t>brugen af filmiske virkemidler</w:t>
            </w:r>
            <w:r w:rsidR="00E37CF5">
              <w:t xml:space="preserve"> med fokus på, hvilken betydning de </w:t>
            </w:r>
            <w:r w:rsidR="00BA1FF0">
              <w:t xml:space="preserve">har for </w:t>
            </w:r>
            <w:r w:rsidR="002B791C">
              <w:t xml:space="preserve">vores oplevelse </w:t>
            </w:r>
            <w:r w:rsidR="00E37CF5">
              <w:t>af personerne og mil</w:t>
            </w:r>
            <w:r w:rsidR="00BA1FF0">
              <w:t>j</w:t>
            </w:r>
            <w:r w:rsidR="00E37CF5">
              <w:t>øerne</w:t>
            </w:r>
            <w:r w:rsidR="0047427D">
              <w:t>.</w:t>
            </w:r>
          </w:p>
          <w:p w:rsidR="0047427D" w:rsidRDefault="0047427D"/>
          <w:p w:rsidR="0047427D" w:rsidRPr="002B791C" w:rsidRDefault="002B791C">
            <w:r>
              <w:rPr>
                <w:b/>
                <w:color w:val="1D266B"/>
                <w:sz w:val="32"/>
                <w:szCs w:val="32"/>
              </w:rPr>
              <w:t>Filmens handling</w:t>
            </w:r>
          </w:p>
          <w:p w:rsidR="0047427D" w:rsidRDefault="0047427D">
            <w:r w:rsidRPr="0047427D">
              <w:t xml:space="preserve">Den 12-årige storbydreng </w:t>
            </w:r>
            <w:proofErr w:type="spellStart"/>
            <w:r w:rsidRPr="0047427D">
              <w:t>Niil</w:t>
            </w:r>
            <w:r w:rsidR="00316AE0">
              <w:t>as</w:t>
            </w:r>
            <w:proofErr w:type="spellEnd"/>
            <w:r w:rsidR="00316AE0">
              <w:t xml:space="preserve"> skal på sommerferie i Nordsverige</w:t>
            </w:r>
            <w:r w:rsidRPr="0047427D">
              <w:t xml:space="preserve"> hos sin mor og bonusfamilie, som han stort set ikke kender. Da </w:t>
            </w:r>
            <w:proofErr w:type="spellStart"/>
            <w:r w:rsidRPr="0047427D">
              <w:t>Niilas'</w:t>
            </w:r>
            <w:proofErr w:type="spellEnd"/>
            <w:r w:rsidRPr="0047427D">
              <w:t xml:space="preserve"> forældre er skilt, bor han til daglig</w:t>
            </w:r>
            <w:r w:rsidR="00316AE0">
              <w:t xml:space="preserve"> sammen</w:t>
            </w:r>
            <w:r w:rsidRPr="0047427D">
              <w:t xml:space="preserve"> med sin far i Antwerpen</w:t>
            </w:r>
            <w:r w:rsidR="00CF1FC4">
              <w:t>. Hans mor lever i det samiske samfund</w:t>
            </w:r>
            <w:r w:rsidR="00316AE0">
              <w:t xml:space="preserve"> i det nordlige Sverige. I</w:t>
            </w:r>
            <w:r w:rsidRPr="0047427D">
              <w:t xml:space="preserve"> det første lange stykke tid </w:t>
            </w:r>
            <w:r w:rsidR="00316AE0">
              <w:t xml:space="preserve">er </w:t>
            </w:r>
            <w:proofErr w:type="spellStart"/>
            <w:r w:rsidR="00316AE0">
              <w:t>Niilas</w:t>
            </w:r>
            <w:proofErr w:type="spellEnd"/>
            <w:r w:rsidR="00316AE0">
              <w:t xml:space="preserve"> ked af det og har hjemvé. Han har</w:t>
            </w:r>
            <w:r w:rsidRPr="0047427D">
              <w:t xml:space="preserve"> svært</w:t>
            </w:r>
            <w:r w:rsidR="00316AE0">
              <w:t xml:space="preserve"> ved at åbne sig op over for sin samiske familie</w:t>
            </w:r>
            <w:r w:rsidRPr="0047427D">
              <w:t xml:space="preserve">. Med sin storbymentalitet og sin hang til teknologi føler han sig udenfor i en kultur, hvor man dyrker naturen og fanger rensdyr med lasso. Men da et rensdyr slipper væk, beslutter </w:t>
            </w:r>
            <w:proofErr w:type="spellStart"/>
            <w:r w:rsidRPr="0047427D">
              <w:t>Niilas</w:t>
            </w:r>
            <w:proofErr w:type="spellEnd"/>
            <w:r w:rsidRPr="0047427D">
              <w:t xml:space="preserve"> </w:t>
            </w:r>
            <w:r w:rsidR="006E1326">
              <w:t>sig alligevel for at engagere sig</w:t>
            </w:r>
            <w:r w:rsidRPr="0047427D">
              <w:t>, og sammen med sine bonussøskende be</w:t>
            </w:r>
            <w:r w:rsidR="007044BE">
              <w:t>giver han sig ud på et udfordrende</w:t>
            </w:r>
            <w:r w:rsidRPr="0047427D">
              <w:t xml:space="preserve"> vildmarkseventyr.</w:t>
            </w:r>
          </w:p>
          <w:p w:rsidR="00841FF2" w:rsidRDefault="00702489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lastRenderedPageBreak/>
              <w:t>Ideer til undervisningen</w:t>
            </w:r>
          </w:p>
          <w:p w:rsidR="00C81A23" w:rsidRDefault="00C81A23"/>
          <w:p w:rsidR="00C81A23" w:rsidRDefault="00C81A23">
            <w:r w:rsidRPr="00C360B6">
              <w:rPr>
                <w:b/>
              </w:rPr>
              <w:t>Før</w:t>
            </w:r>
            <w:r>
              <w:t xml:space="preserve"> I ser filmen er det en god ide at tale om den samiske kultur og </w:t>
            </w:r>
            <w:r w:rsidR="00207187">
              <w:t xml:space="preserve">bl.a. komme ind på </w:t>
            </w:r>
            <w:r>
              <w:t>den store betydning renerne har for</w:t>
            </w:r>
            <w:r w:rsidR="00F46A3A">
              <w:t xml:space="preserve"> de</w:t>
            </w:r>
            <w:r>
              <w:t xml:space="preserve"> </w:t>
            </w:r>
            <w:r w:rsidR="00F46A3A">
              <w:t>samiske familiers</w:t>
            </w:r>
            <w:r>
              <w:t xml:space="preserve"> livsgrundlag. </w:t>
            </w:r>
          </w:p>
          <w:p w:rsidR="00DF431A" w:rsidRDefault="00C360B6">
            <w:r>
              <w:t>D</w:t>
            </w:r>
            <w:r w:rsidR="00DF431A">
              <w:t xml:space="preserve">et </w:t>
            </w:r>
            <w:r>
              <w:t>er desuden en fordel</w:t>
            </w:r>
            <w:r w:rsidR="00DF431A">
              <w:t>, at eleverne tidligere har arbejdet med personbesk</w:t>
            </w:r>
            <w:r>
              <w:t>rivelser og kender til kontrakt</w:t>
            </w:r>
            <w:r w:rsidR="00DF431A">
              <w:t>modellen</w:t>
            </w:r>
            <w:r>
              <w:t xml:space="preserve"> </w:t>
            </w:r>
            <w:r w:rsidRPr="00C360B6">
              <w:t>(hjem – ude – hjem)</w:t>
            </w:r>
            <w:r>
              <w:t>.</w:t>
            </w:r>
          </w:p>
          <w:p w:rsidR="00C360B6" w:rsidRPr="00C360B6" w:rsidRDefault="00C360B6"/>
          <w:p w:rsidR="005B1990" w:rsidRPr="005B1990" w:rsidRDefault="006157CA" w:rsidP="005B1990">
            <w:pPr>
              <w:rPr>
                <w:b/>
              </w:rPr>
            </w:pPr>
            <w:r w:rsidRPr="006157CA">
              <w:rPr>
                <w:b/>
              </w:rPr>
              <w:t>Personkarakteristik og kontraktmodel</w:t>
            </w:r>
          </w:p>
          <w:p w:rsidR="005B1990" w:rsidRDefault="00207187" w:rsidP="005B1990">
            <w:r w:rsidRPr="00207187">
              <w:rPr>
                <w:b/>
              </w:rPr>
              <w:t xml:space="preserve">Efter </w:t>
            </w:r>
            <w:r w:rsidR="00C360B6">
              <w:t xml:space="preserve">eleverne har set filmen første gang, </w:t>
            </w:r>
            <w:r w:rsidR="00A13C70">
              <w:t>kan de</w:t>
            </w:r>
            <w:r w:rsidR="00C360B6" w:rsidRPr="00C360B6">
              <w:t xml:space="preserve"> arbejde med at sætte filmens handling ind i kontraktmodellen</w:t>
            </w:r>
            <w:r w:rsidR="00C360B6">
              <w:t>.</w:t>
            </w:r>
            <w:r w:rsidR="0017173D">
              <w:t xml:space="preserve"> </w:t>
            </w:r>
            <w:r w:rsidR="00CF4AD9">
              <w:t xml:space="preserve">I forbindelse med dette arbejde </w:t>
            </w:r>
            <w:r w:rsidR="00144EB5">
              <w:t>rettes</w:t>
            </w:r>
            <w:r w:rsidR="008D1F6F">
              <w:t xml:space="preserve"> elevernes opmærksomhed</w:t>
            </w:r>
            <w:r w:rsidR="00144EB5">
              <w:t xml:space="preserve"> mod hovedpersonen </w:t>
            </w:r>
            <w:proofErr w:type="spellStart"/>
            <w:r w:rsidR="00144EB5">
              <w:t>Niilas</w:t>
            </w:r>
            <w:proofErr w:type="spellEnd"/>
            <w:r w:rsidR="00144EB5">
              <w:t xml:space="preserve"> med fokus på hans personlige udvikling.</w:t>
            </w:r>
            <w:r w:rsidR="00953F42">
              <w:t xml:space="preserve"> Spørgsmålene i de enkelte kapitler er målrettet eleverne og sætter fokus på personen </w:t>
            </w:r>
            <w:proofErr w:type="spellStart"/>
            <w:r w:rsidR="00953F42">
              <w:t>Niilas</w:t>
            </w:r>
            <w:proofErr w:type="spellEnd"/>
            <w:r w:rsidR="00640150">
              <w:t xml:space="preserve"> og de forandringer han gennemløber</w:t>
            </w:r>
            <w:r w:rsidR="00953F42">
              <w:t xml:space="preserve">, men også </w:t>
            </w:r>
            <w:r w:rsidR="00640150">
              <w:t xml:space="preserve">på </w:t>
            </w:r>
            <w:r w:rsidR="00953F42">
              <w:t xml:space="preserve">hans far, </w:t>
            </w:r>
            <w:r w:rsidR="00E87DA2">
              <w:t xml:space="preserve">hans </w:t>
            </w:r>
            <w:r w:rsidR="00953F42">
              <w:t xml:space="preserve">mor og </w:t>
            </w:r>
            <w:r w:rsidR="00A13C70">
              <w:t xml:space="preserve">hans </w:t>
            </w:r>
            <w:r w:rsidR="00953F42">
              <w:t xml:space="preserve">søskende </w:t>
            </w:r>
            <w:r w:rsidR="00640150">
              <w:t>og</w:t>
            </w:r>
            <w:r w:rsidR="00E87DA2">
              <w:t xml:space="preserve"> de relationer</w:t>
            </w:r>
            <w:r w:rsidR="00A13C70">
              <w:t>,</w:t>
            </w:r>
            <w:r w:rsidR="00E87DA2">
              <w:t xml:space="preserve"> som</w:t>
            </w:r>
            <w:r w:rsidR="00640150">
              <w:t xml:space="preserve"> </w:t>
            </w:r>
            <w:proofErr w:type="spellStart"/>
            <w:r w:rsidR="00640150">
              <w:t>Niilas</w:t>
            </w:r>
            <w:proofErr w:type="spellEnd"/>
            <w:r w:rsidR="00E87DA2">
              <w:t xml:space="preserve"> har til dem</w:t>
            </w:r>
            <w:r w:rsidR="00640150">
              <w:t>.</w:t>
            </w:r>
          </w:p>
          <w:p w:rsidR="00C360B6" w:rsidRDefault="00C360B6">
            <w:pPr>
              <w:rPr>
                <w:b/>
              </w:rPr>
            </w:pPr>
          </w:p>
          <w:p w:rsidR="008077CC" w:rsidRPr="008077CC" w:rsidRDefault="008077CC">
            <w:pPr>
              <w:rPr>
                <w:b/>
              </w:rPr>
            </w:pPr>
            <w:r w:rsidRPr="008077CC">
              <w:rPr>
                <w:b/>
              </w:rPr>
              <w:t xml:space="preserve">Kapitelinddelingen </w:t>
            </w:r>
          </w:p>
          <w:p w:rsidR="003B3476" w:rsidRDefault="008077CC">
            <w:r>
              <w:t xml:space="preserve"> </w:t>
            </w:r>
            <w:r w:rsidR="0009264A">
              <w:rPr>
                <w:b/>
              </w:rPr>
              <w:t xml:space="preserve">1. </w:t>
            </w:r>
            <w:proofErr w:type="spellStart"/>
            <w:r w:rsidR="0009264A">
              <w:rPr>
                <w:b/>
              </w:rPr>
              <w:t>Niilas’</w:t>
            </w:r>
            <w:proofErr w:type="spellEnd"/>
            <w:r w:rsidR="0009264A">
              <w:rPr>
                <w:b/>
              </w:rPr>
              <w:t xml:space="preserve"> drøm</w:t>
            </w:r>
            <w:r w:rsidR="00DF732E" w:rsidRPr="00DF732E">
              <w:t xml:space="preserve"> </w:t>
            </w:r>
          </w:p>
          <w:p w:rsidR="007A4C76" w:rsidRDefault="00DF732E">
            <w:r w:rsidRPr="00DF732E">
              <w:t>I f</w:t>
            </w:r>
            <w:r w:rsidR="0073226A" w:rsidRPr="00DF732E">
              <w:t xml:space="preserve">ilmens </w:t>
            </w:r>
            <w:r>
              <w:t xml:space="preserve">åbningsscene præsenteres hovedperson </w:t>
            </w:r>
            <w:proofErr w:type="spellStart"/>
            <w:r>
              <w:t>Niilas</w:t>
            </w:r>
            <w:proofErr w:type="spellEnd"/>
            <w:r w:rsidR="007A4C76">
              <w:t xml:space="preserve"> midt</w:t>
            </w:r>
            <w:r>
              <w:t xml:space="preserve"> i sit mareridt</w:t>
            </w:r>
            <w:r w:rsidR="0073226A">
              <w:t xml:space="preserve">. </w:t>
            </w:r>
            <w:r w:rsidR="008D1F6F">
              <w:t>Han er rædselsslagen</w:t>
            </w:r>
            <w:r>
              <w:t xml:space="preserve"> og flygter over stok og sten gennem de store skove i Nordsverige. L</w:t>
            </w:r>
            <w:r w:rsidR="00C63270">
              <w:t>ige inden han vågner</w:t>
            </w:r>
            <w:r w:rsidR="00207187">
              <w:t>, er han i tæt kontakt med</w:t>
            </w:r>
            <w:r w:rsidR="007A4C76">
              <w:t xml:space="preserve"> en elg. </w:t>
            </w:r>
            <w:r w:rsidR="00E11762">
              <w:t>Samme elg optræder flere gange i løbet af filmen</w:t>
            </w:r>
            <w:r w:rsidR="004231D5">
              <w:t xml:space="preserve"> og fungerer som et symbol for </w:t>
            </w:r>
            <w:proofErr w:type="spellStart"/>
            <w:r w:rsidR="004231D5">
              <w:t>Niilas’</w:t>
            </w:r>
            <w:proofErr w:type="spellEnd"/>
            <w:r w:rsidR="00ED68A3">
              <w:t xml:space="preserve"> angst for det ukendte</w:t>
            </w:r>
            <w:r w:rsidR="00E11762">
              <w:t xml:space="preserve">. </w:t>
            </w:r>
            <w:r w:rsidR="007A4C76">
              <w:t>De filmiske virkemidler understreger oplevelsen af fare, fart og tempo.</w:t>
            </w:r>
          </w:p>
          <w:p w:rsidR="003B3476" w:rsidRDefault="007A4C76">
            <w:pPr>
              <w:rPr>
                <w:b/>
              </w:rPr>
            </w:pPr>
            <w:r w:rsidRPr="00252047">
              <w:rPr>
                <w:b/>
              </w:rPr>
              <w:t>2</w:t>
            </w:r>
            <w:r w:rsidR="0009264A">
              <w:rPr>
                <w:b/>
              </w:rPr>
              <w:t xml:space="preserve">. </w:t>
            </w:r>
            <w:proofErr w:type="spellStart"/>
            <w:r w:rsidR="0009264A">
              <w:rPr>
                <w:b/>
              </w:rPr>
              <w:t>Niilas</w:t>
            </w:r>
            <w:proofErr w:type="spellEnd"/>
            <w:r w:rsidR="0009264A">
              <w:rPr>
                <w:b/>
              </w:rPr>
              <w:t xml:space="preserve"> og hans far</w:t>
            </w:r>
            <w:r w:rsidRPr="00252047">
              <w:rPr>
                <w:b/>
              </w:rPr>
              <w:t xml:space="preserve"> </w:t>
            </w:r>
          </w:p>
          <w:p w:rsidR="00953F42" w:rsidRDefault="0009264A">
            <w:proofErr w:type="spellStart"/>
            <w:r>
              <w:t>Niilas</w:t>
            </w:r>
            <w:proofErr w:type="spellEnd"/>
            <w:r>
              <w:t xml:space="preserve"> har et godt forhold til sin far</w:t>
            </w:r>
            <w:r w:rsidR="008D1F6F">
              <w:t xml:space="preserve">. </w:t>
            </w:r>
            <w:proofErr w:type="spellStart"/>
            <w:r w:rsidR="00953F42" w:rsidRPr="00953F42">
              <w:t>Niilas</w:t>
            </w:r>
            <w:proofErr w:type="spellEnd"/>
            <w:r w:rsidR="00953F42" w:rsidRPr="00953F42">
              <w:t xml:space="preserve"> f</w:t>
            </w:r>
            <w:r w:rsidR="008D1F6F">
              <w:t>rygter at skulle forlade faderen</w:t>
            </w:r>
            <w:r w:rsidR="00953F42" w:rsidRPr="00953F42">
              <w:t xml:space="preserve"> og rejse alene op til </w:t>
            </w:r>
            <w:r w:rsidR="00953F42">
              <w:t xml:space="preserve">sin mor, der bor i </w:t>
            </w:r>
            <w:r w:rsidR="00953F42" w:rsidRPr="00953F42">
              <w:t xml:space="preserve">det </w:t>
            </w:r>
            <w:r w:rsidR="00953F42">
              <w:t>samiske samfund i Nordsverige. Han</w:t>
            </w:r>
            <w:r w:rsidR="00953F42" w:rsidRPr="00953F42">
              <w:t xml:space="preserve"> prøver at overtale sin far til at ændre planer. </w:t>
            </w:r>
            <w:r w:rsidR="00953F42">
              <w:t>Da det ikke lykkes</w:t>
            </w:r>
            <w:r w:rsidR="008D1F6F">
              <w:t>,</w:t>
            </w:r>
            <w:r w:rsidR="00953F42">
              <w:t xml:space="preserve"> flygter han </w:t>
            </w:r>
            <w:r w:rsidR="008D1F6F">
              <w:t xml:space="preserve">fra problemerne og søger </w:t>
            </w:r>
            <w:r w:rsidR="00953F42">
              <w:t xml:space="preserve">ned på en nærliggende legeplads, hvor han </w:t>
            </w:r>
            <w:r w:rsidR="00640150">
              <w:t xml:space="preserve">gemmer </w:t>
            </w:r>
            <w:r w:rsidR="008D1F6F">
              <w:t>sig. F</w:t>
            </w:r>
            <w:r w:rsidR="00953F42">
              <w:t xml:space="preserve">ra sit skjul </w:t>
            </w:r>
            <w:r w:rsidR="00953F42" w:rsidRPr="00953F42">
              <w:t xml:space="preserve">beundrer </w:t>
            </w:r>
            <w:r w:rsidR="008D1F6F">
              <w:t xml:space="preserve">han </w:t>
            </w:r>
            <w:r w:rsidR="00953F42" w:rsidRPr="00953F42">
              <w:t>de drenge, der leger fysisk udfordrende lege</w:t>
            </w:r>
            <w:r w:rsidR="00953F42">
              <w:t>.</w:t>
            </w:r>
            <w:r w:rsidR="00953F42" w:rsidRPr="00953F42">
              <w:t xml:space="preserve"> </w:t>
            </w:r>
          </w:p>
          <w:p w:rsidR="00953F42" w:rsidRPr="00001507" w:rsidRDefault="00953F42">
            <w:pPr>
              <w:rPr>
                <w:b/>
              </w:rPr>
            </w:pPr>
            <w:r w:rsidRPr="00001507">
              <w:rPr>
                <w:b/>
              </w:rPr>
              <w:t xml:space="preserve">3. </w:t>
            </w:r>
            <w:r w:rsidR="00001507">
              <w:rPr>
                <w:b/>
              </w:rPr>
              <w:t>Rejsen til familien i Nordsverige</w:t>
            </w:r>
            <w:r w:rsidR="003B3476">
              <w:rPr>
                <w:b/>
              </w:rPr>
              <w:t xml:space="preserve"> </w:t>
            </w:r>
          </w:p>
          <w:p w:rsidR="00CF1FC4" w:rsidRDefault="00CF4AD9">
            <w:r>
              <w:t xml:space="preserve">Da </w:t>
            </w:r>
            <w:proofErr w:type="spellStart"/>
            <w:r>
              <w:t>Niilas</w:t>
            </w:r>
            <w:proofErr w:type="spellEnd"/>
            <w:r>
              <w:t xml:space="preserve"> rejser sker kontraktbruddet. </w:t>
            </w:r>
          </w:p>
          <w:p w:rsidR="003B3476" w:rsidRDefault="00CF1FC4">
            <w:r>
              <w:t xml:space="preserve">I mødet med sin mor, halvbror og papsøster </w:t>
            </w:r>
            <w:r w:rsidR="00211DFF">
              <w:t xml:space="preserve">forsøger </w:t>
            </w:r>
            <w:proofErr w:type="spellStart"/>
            <w:r w:rsidR="00211DFF">
              <w:t>Niilas</w:t>
            </w:r>
            <w:proofErr w:type="spellEnd"/>
            <w:r w:rsidR="004231D5">
              <w:t xml:space="preserve"> på forskellige måder at skjule sig og undgå et reelt møde. </w:t>
            </w:r>
            <w:proofErr w:type="spellStart"/>
            <w:r>
              <w:t>Niilas</w:t>
            </w:r>
            <w:proofErr w:type="spellEnd"/>
            <w:r w:rsidR="004231D5">
              <w:t xml:space="preserve"> </w:t>
            </w:r>
            <w:r w:rsidR="00211DFF">
              <w:t xml:space="preserve">mangler selvtillid. Han </w:t>
            </w:r>
            <w:r w:rsidR="004231D5">
              <w:t>er ked af det og optræder</w:t>
            </w:r>
            <w:r>
              <w:t xml:space="preserve"> afvisende</w:t>
            </w:r>
            <w:r w:rsidR="008D1F6F">
              <w:t xml:space="preserve">, </w:t>
            </w:r>
            <w:r w:rsidR="00984BF0">
              <w:t>umoden</w:t>
            </w:r>
            <w:r w:rsidR="008D1F6F">
              <w:t>t</w:t>
            </w:r>
            <w:r>
              <w:t xml:space="preserve"> og indadvendt.</w:t>
            </w:r>
          </w:p>
          <w:p w:rsidR="003B3476" w:rsidRDefault="003B3476">
            <w:pPr>
              <w:rPr>
                <w:b/>
              </w:rPr>
            </w:pPr>
            <w:r>
              <w:rPr>
                <w:b/>
              </w:rPr>
              <w:t>4. I moderens hjem</w:t>
            </w:r>
          </w:p>
          <w:p w:rsidR="003B3476" w:rsidRDefault="003B3476">
            <w:proofErr w:type="spellStart"/>
            <w:r w:rsidRPr="003B3476">
              <w:t>Niilas</w:t>
            </w:r>
            <w:proofErr w:type="spellEnd"/>
            <w:r w:rsidRPr="003B3476">
              <w:t xml:space="preserve"> </w:t>
            </w:r>
            <w:r w:rsidR="008D1F6F">
              <w:t xml:space="preserve">er </w:t>
            </w:r>
            <w:r w:rsidR="004231D5">
              <w:t xml:space="preserve">efterhånden desperat. Han </w:t>
            </w:r>
            <w:r>
              <w:t>forsøger at flygte, men</w:t>
            </w:r>
            <w:r w:rsidR="008D1F6F">
              <w:t xml:space="preserve"> er bange. Han kan ikke </w:t>
            </w:r>
            <w:r w:rsidR="004231D5">
              <w:t xml:space="preserve">overvinde sin angst og tør ikke </w:t>
            </w:r>
            <w:r>
              <w:t>begive sig ud i den vilde natur</w:t>
            </w:r>
            <w:r w:rsidR="004231D5">
              <w:t xml:space="preserve"> (symboliseret ved elgen)</w:t>
            </w:r>
            <w:r>
              <w:t>.</w:t>
            </w:r>
          </w:p>
          <w:p w:rsidR="003B3476" w:rsidRDefault="00A6341F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Sunná</w:t>
            </w:r>
            <w:proofErr w:type="spellEnd"/>
          </w:p>
          <w:p w:rsidR="00A6341F" w:rsidRDefault="00A6341F">
            <w:proofErr w:type="spellStart"/>
            <w:r>
              <w:t>Sunná</w:t>
            </w:r>
            <w:proofErr w:type="spellEnd"/>
            <w:r>
              <w:t xml:space="preserve"> er handlekraftig og beslutsom. Hun bryder gennem </w:t>
            </w:r>
            <w:proofErr w:type="spellStart"/>
            <w:r>
              <w:t>Niilas’</w:t>
            </w:r>
            <w:proofErr w:type="spellEnd"/>
            <w:r>
              <w:t xml:space="preserve"> barriere. Det bliver vendepunktet for </w:t>
            </w:r>
            <w:proofErr w:type="spellStart"/>
            <w:r>
              <w:t>Niilas</w:t>
            </w:r>
            <w:proofErr w:type="spellEnd"/>
            <w:r>
              <w:t xml:space="preserve"> og igangsætter </w:t>
            </w:r>
            <w:r w:rsidR="00ED68A3">
              <w:t xml:space="preserve">så småt </w:t>
            </w:r>
            <w:r>
              <w:t xml:space="preserve">hans udvikling. </w:t>
            </w:r>
          </w:p>
          <w:p w:rsidR="00ED68A3" w:rsidRPr="00ED68A3" w:rsidRDefault="00ED68A3">
            <w:pPr>
              <w:rPr>
                <w:b/>
              </w:rPr>
            </w:pPr>
            <w:r>
              <w:rPr>
                <w:b/>
              </w:rPr>
              <w:t>6. Opgøret</w:t>
            </w:r>
          </w:p>
          <w:p w:rsidR="00CF4AD9" w:rsidRDefault="00ED68A3">
            <w:r>
              <w:t xml:space="preserve">Da Pontus tager </w:t>
            </w:r>
            <w:proofErr w:type="spellStart"/>
            <w:r>
              <w:t>Niilas’</w:t>
            </w:r>
            <w:proofErr w:type="spellEnd"/>
            <w:r>
              <w:t xml:space="preserve"> scanner og leger med den, reagerer </w:t>
            </w:r>
            <w:proofErr w:type="spellStart"/>
            <w:r>
              <w:t>Niilas</w:t>
            </w:r>
            <w:proofErr w:type="spellEnd"/>
            <w:r>
              <w:t xml:space="preserve"> ved at slå Pontus. Det igangsætter et opgør </w:t>
            </w:r>
            <w:r w:rsidR="007A55A7">
              <w:t xml:space="preserve">mellem </w:t>
            </w:r>
            <w:proofErr w:type="spellStart"/>
            <w:r w:rsidR="007A55A7">
              <w:t>Niilas</w:t>
            </w:r>
            <w:proofErr w:type="spellEnd"/>
            <w:r w:rsidR="007A55A7">
              <w:t xml:space="preserve"> på den ene side og </w:t>
            </w:r>
            <w:r>
              <w:t xml:space="preserve">Pontus, </w:t>
            </w:r>
            <w:proofErr w:type="spellStart"/>
            <w:r>
              <w:t>Sunná</w:t>
            </w:r>
            <w:proofErr w:type="spellEnd"/>
            <w:r>
              <w:t xml:space="preserve"> og </w:t>
            </w:r>
            <w:proofErr w:type="spellStart"/>
            <w:r>
              <w:t>Niilas’</w:t>
            </w:r>
            <w:proofErr w:type="spellEnd"/>
            <w:r>
              <w:t xml:space="preserve"> mor</w:t>
            </w:r>
            <w:r w:rsidR="007A55A7">
              <w:t xml:space="preserve"> på den anden</w:t>
            </w:r>
            <w:r>
              <w:t xml:space="preserve">. Endnu engang forsøger </w:t>
            </w:r>
            <w:proofErr w:type="spellStart"/>
            <w:r>
              <w:t>Niilas</w:t>
            </w:r>
            <w:proofErr w:type="spellEnd"/>
            <w:r>
              <w:t xml:space="preserve"> at</w:t>
            </w:r>
            <w:r w:rsidR="00D23884">
              <w:t xml:space="preserve"> flygte. Denne gang løber han igennem et pænt stykke af skoven</w:t>
            </w:r>
            <w:r w:rsidR="008F02FA">
              <w:t>,</w:t>
            </w:r>
            <w:r w:rsidR="00D23884">
              <w:t xml:space="preserve"> inden elgen stopper ham. Fremstillingen af </w:t>
            </w:r>
            <w:proofErr w:type="spellStart"/>
            <w:r w:rsidR="00D23884">
              <w:t>Niilas’</w:t>
            </w:r>
            <w:proofErr w:type="spellEnd"/>
            <w:r w:rsidR="00D23884">
              <w:t xml:space="preserve"> flugt svarer i flere klip til </w:t>
            </w:r>
            <w:proofErr w:type="spellStart"/>
            <w:r w:rsidR="00D23884">
              <w:t>Niilas’</w:t>
            </w:r>
            <w:proofErr w:type="spellEnd"/>
            <w:r w:rsidR="00D23884">
              <w:t xml:space="preserve"> drøm i åbningsscenen. </w:t>
            </w:r>
          </w:p>
          <w:p w:rsidR="00D23884" w:rsidRDefault="00D23884">
            <w:r>
              <w:t xml:space="preserve">I slutningen af kapitlet forenes </w:t>
            </w:r>
            <w:proofErr w:type="spellStart"/>
            <w:r>
              <w:t>Niilas</w:t>
            </w:r>
            <w:proofErr w:type="spellEnd"/>
            <w:r>
              <w:t xml:space="preserve"> med sin mor og forsoner sig med sine søskende. </w:t>
            </w:r>
          </w:p>
          <w:p w:rsidR="003E44B0" w:rsidRDefault="003E44B0">
            <w:pPr>
              <w:rPr>
                <w:b/>
              </w:rPr>
            </w:pPr>
            <w:r>
              <w:rPr>
                <w:b/>
              </w:rPr>
              <w:t xml:space="preserve">7. Kalven og </w:t>
            </w:r>
            <w:proofErr w:type="spellStart"/>
            <w:r>
              <w:rPr>
                <w:b/>
              </w:rPr>
              <w:t>rendyrmoderen</w:t>
            </w:r>
            <w:proofErr w:type="spellEnd"/>
          </w:p>
          <w:p w:rsidR="008F02FA" w:rsidRDefault="008F02FA">
            <w:r>
              <w:t xml:space="preserve">I dette kapitel gennemgår </w:t>
            </w:r>
            <w:proofErr w:type="spellStart"/>
            <w:r>
              <w:t>Niilas</w:t>
            </w:r>
            <w:proofErr w:type="spellEnd"/>
            <w:r>
              <w:t xml:space="preserve"> en stor udvikling. Han tager initiativ til at lede efter </w:t>
            </w:r>
            <w:r>
              <w:lastRenderedPageBreak/>
              <w:t xml:space="preserve">rensdyrmoderen og til at bede </w:t>
            </w:r>
            <w:proofErr w:type="spellStart"/>
            <w:r>
              <w:t>Sunná</w:t>
            </w:r>
            <w:proofErr w:type="spellEnd"/>
            <w:r>
              <w:t xml:space="preserve"> om hjælp. Da hans plan om at finde rensdyrmoderen ser ud til at mislykkes, griber han umiddelbart til sit normale reaktionsmønster og stikker af. </w:t>
            </w:r>
            <w:r w:rsidR="00377D31">
              <w:t xml:space="preserve">Han opgiver dog hurtigt flugten og </w:t>
            </w:r>
            <w:r w:rsidR="001C31E1">
              <w:t xml:space="preserve">stopper </w:t>
            </w:r>
            <w:r w:rsidR="00B106CC">
              <w:t xml:space="preserve">i stedet op.  </w:t>
            </w:r>
            <w:r>
              <w:t xml:space="preserve">Han opgiver at bruge scanneren </w:t>
            </w:r>
            <w:r w:rsidR="008358D5">
              <w:t>og bliver</w:t>
            </w:r>
            <w:r w:rsidR="001C31E1">
              <w:t xml:space="preserve"> i stedet opmærksom på naturen. Da</w:t>
            </w:r>
            <w:r>
              <w:t xml:space="preserve"> elgen opsøger han, tager han denne gang modet til s</w:t>
            </w:r>
            <w:r w:rsidR="001C31E1">
              <w:t>ig og kommer i kontakt med den</w:t>
            </w:r>
            <w:r>
              <w:t xml:space="preserve">. Elgen fører </w:t>
            </w:r>
            <w:r w:rsidR="001C31E1">
              <w:t xml:space="preserve">ham til rensdyrmoderen. </w:t>
            </w:r>
            <w:r w:rsidR="00B106CC">
              <w:t xml:space="preserve">Han træder i karakter, tror på sig selv og fanger rensdyrmoderen med sin lasso. </w:t>
            </w:r>
            <w:r w:rsidR="00F818F3">
              <w:t>I slutningen af kapitlet har</w:t>
            </w:r>
            <w:r w:rsidR="00B106CC">
              <w:t xml:space="preserve"> </w:t>
            </w:r>
            <w:proofErr w:type="spellStart"/>
            <w:r w:rsidR="00B106CC">
              <w:t>Niilas</w:t>
            </w:r>
            <w:proofErr w:type="spellEnd"/>
            <w:r w:rsidR="00B106CC">
              <w:t xml:space="preserve"> </w:t>
            </w:r>
            <w:r w:rsidR="00F818F3">
              <w:t xml:space="preserve">fået et godt forhold til </w:t>
            </w:r>
            <w:r w:rsidR="00B106CC">
              <w:t>sine søskende</w:t>
            </w:r>
            <w:r w:rsidR="00F818F3">
              <w:t xml:space="preserve"> og ikke mindst til</w:t>
            </w:r>
            <w:r w:rsidR="00900829">
              <w:t xml:space="preserve"> sin mor</w:t>
            </w:r>
            <w:r w:rsidR="008358D5">
              <w:t xml:space="preserve">. Han er blevet en venlig og imødekommende </w:t>
            </w:r>
            <w:r w:rsidR="00F818F3">
              <w:t>dreng, der lover at besøge sin samiske familie</w:t>
            </w:r>
            <w:r w:rsidR="00B106CC">
              <w:t xml:space="preserve"> </w:t>
            </w:r>
            <w:r w:rsidR="00F818F3">
              <w:t>en anden gang.</w:t>
            </w:r>
          </w:p>
          <w:p w:rsidR="00EB7B41" w:rsidRPr="00EB7B41" w:rsidRDefault="00EB7B41">
            <w:pPr>
              <w:rPr>
                <w:b/>
              </w:rPr>
            </w:pPr>
            <w:r>
              <w:rPr>
                <w:b/>
              </w:rPr>
              <w:t>8. Hjemme igen</w:t>
            </w:r>
          </w:p>
          <w:p w:rsidR="000A1A92" w:rsidRDefault="00E118AD">
            <w:proofErr w:type="spellStart"/>
            <w:r>
              <w:t>Niilas</w:t>
            </w:r>
            <w:proofErr w:type="spellEnd"/>
            <w:r>
              <w:t xml:space="preserve"> er hjemme igen. På legepladsen fremstår han nu som en modig, handlekraftig og glad dreng, der er interesseret i at lege med de andre børn. Kontraktforholdet er genetableret på et højere og mere lykkeligt plan</w:t>
            </w:r>
            <w:r w:rsidR="003E39E6">
              <w:t>.</w:t>
            </w:r>
          </w:p>
          <w:p w:rsidR="00841FF2" w:rsidRDefault="00841FF2"/>
          <w:p w:rsidR="00841FF2" w:rsidRDefault="00702489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:rsidR="00841FF2" w:rsidRDefault="0007584F">
            <w:r>
              <w:t xml:space="preserve">Om </w:t>
            </w:r>
            <w:r w:rsidR="00324625">
              <w:t>k</w:t>
            </w:r>
            <w:r>
              <w:t xml:space="preserve">ontraktmodellen, </w:t>
            </w:r>
            <w:r w:rsidRPr="0007584F">
              <w:t>Det danske Filmi</w:t>
            </w:r>
            <w:r>
              <w:t xml:space="preserve">nstituts filmleksikon </w:t>
            </w:r>
          </w:p>
          <w:p w:rsidR="00841FF2" w:rsidRDefault="00EC2B80">
            <w:hyperlink r:id="rId8" w:history="1">
              <w:r w:rsidR="00E9183C" w:rsidRPr="00E9183C">
                <w:rPr>
                  <w:rStyle w:val="Hyperlink"/>
                </w:rPr>
                <w:t>https://filmcentralen.dk/grundskolen/filmsprog/kontraktmodellen</w:t>
              </w:r>
            </w:hyperlink>
          </w:p>
          <w:p w:rsidR="00841FF2" w:rsidRDefault="00841FF2"/>
        </w:tc>
      </w:tr>
    </w:tbl>
    <w:p w:rsidR="00841FF2" w:rsidRDefault="00841FF2">
      <w:pPr>
        <w:tabs>
          <w:tab w:val="left" w:pos="1304"/>
          <w:tab w:val="left" w:pos="8745"/>
        </w:tabs>
      </w:pPr>
    </w:p>
    <w:p w:rsidR="00841FF2" w:rsidRDefault="00841FF2"/>
    <w:sectPr w:rsidR="00841FF2">
      <w:headerReference w:type="default" r:id="rId9"/>
      <w:footerReference w:type="default" r:id="rId10"/>
      <w:pgSz w:w="11906" w:h="16838"/>
      <w:pgMar w:top="1605" w:right="1134" w:bottom="1135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80" w:rsidRDefault="00EC2B80">
      <w:pPr>
        <w:spacing w:after="0"/>
      </w:pPr>
      <w:r>
        <w:separator/>
      </w:r>
    </w:p>
  </w:endnote>
  <w:endnote w:type="continuationSeparator" w:id="0">
    <w:p w:rsidR="00EC2B80" w:rsidRDefault="00EC2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F2" w:rsidRDefault="00EC2B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pict>
        <v:rect id="_x0000_i1026" style="width:0;height:1.5pt" o:hralign="center" o:hrstd="t" o:hr="t" fillcolor="#a0a0a0" stroked="f"/>
      </w:pict>
    </w:r>
  </w:p>
  <w:p w:rsidR="00841FF2" w:rsidRDefault="00205A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  <w:sz w:val="20"/>
        <w:szCs w:val="20"/>
      </w:rPr>
    </w:pPr>
    <w:r>
      <w:rPr>
        <w:color w:val="000000"/>
        <w:sz w:val="18"/>
        <w:szCs w:val="18"/>
      </w:rPr>
      <w:t>Udarbejdet af Susanne Gjessing, CFU KP, dec. 2018</w:t>
    </w:r>
  </w:p>
  <w:p w:rsidR="00841FF2" w:rsidRDefault="00205A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  <w:r>
      <w:rPr>
        <w:color w:val="000000"/>
        <w:sz w:val="18"/>
        <w:szCs w:val="18"/>
      </w:rPr>
      <w:t>Cloudboy</w:t>
    </w:r>
    <w:r w:rsidR="00702489">
      <w:tab/>
    </w:r>
    <w:r w:rsidR="00702489">
      <w:tab/>
    </w:r>
    <w:r w:rsidR="00702489">
      <w:rPr>
        <w:noProof/>
      </w:rPr>
      <w:drawing>
        <wp:inline distT="114300" distB="114300" distL="114300" distR="114300">
          <wp:extent cx="533400" cy="10477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41FF2" w:rsidRDefault="007024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9E69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80" w:rsidRDefault="00EC2B80">
      <w:pPr>
        <w:spacing w:after="0"/>
      </w:pPr>
      <w:r>
        <w:separator/>
      </w:r>
    </w:p>
  </w:footnote>
  <w:footnote w:type="continuationSeparator" w:id="0">
    <w:p w:rsidR="00EC2B80" w:rsidRDefault="00EC2B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F2" w:rsidRDefault="00702489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color w:val="000000"/>
      </w:rPr>
      <w:t>Pædagogisk</w:t>
    </w:r>
    <w:r>
      <w:t xml:space="preserve"> vejledning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hyperlink r:id="rId1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</w:t>
    </w:r>
    <w:r w:rsidR="009E6937" w:rsidRPr="009E6937">
      <w:rPr>
        <w:color w:val="0000FF"/>
        <w:u w:val="single"/>
      </w:rPr>
      <w:t>CFUFILM1072118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123825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2" name="image1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1FF2" w:rsidRDefault="00EC2B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F2"/>
    <w:rsid w:val="00001507"/>
    <w:rsid w:val="00020B7B"/>
    <w:rsid w:val="00021AB0"/>
    <w:rsid w:val="000557D4"/>
    <w:rsid w:val="00056454"/>
    <w:rsid w:val="00056BC8"/>
    <w:rsid w:val="0007584F"/>
    <w:rsid w:val="00082B3C"/>
    <w:rsid w:val="0009264A"/>
    <w:rsid w:val="000A1A92"/>
    <w:rsid w:val="000E46EF"/>
    <w:rsid w:val="000F04C1"/>
    <w:rsid w:val="00142BB3"/>
    <w:rsid w:val="00144EB5"/>
    <w:rsid w:val="0017173D"/>
    <w:rsid w:val="001C31E1"/>
    <w:rsid w:val="00203179"/>
    <w:rsid w:val="00205A74"/>
    <w:rsid w:val="00207082"/>
    <w:rsid w:val="00207187"/>
    <w:rsid w:val="00211DFF"/>
    <w:rsid w:val="002330DA"/>
    <w:rsid w:val="00252047"/>
    <w:rsid w:val="0027400D"/>
    <w:rsid w:val="00291955"/>
    <w:rsid w:val="002A1DDB"/>
    <w:rsid w:val="002B791C"/>
    <w:rsid w:val="002C2D33"/>
    <w:rsid w:val="002F1226"/>
    <w:rsid w:val="002F2DB7"/>
    <w:rsid w:val="00316AE0"/>
    <w:rsid w:val="00324625"/>
    <w:rsid w:val="00377D31"/>
    <w:rsid w:val="003B3476"/>
    <w:rsid w:val="003E39E6"/>
    <w:rsid w:val="003E44B0"/>
    <w:rsid w:val="00404C18"/>
    <w:rsid w:val="00406710"/>
    <w:rsid w:val="0041007A"/>
    <w:rsid w:val="004231D5"/>
    <w:rsid w:val="004368B9"/>
    <w:rsid w:val="0047427D"/>
    <w:rsid w:val="00490B5D"/>
    <w:rsid w:val="00495C9D"/>
    <w:rsid w:val="004A5527"/>
    <w:rsid w:val="004B4D79"/>
    <w:rsid w:val="004D05C9"/>
    <w:rsid w:val="0050553A"/>
    <w:rsid w:val="00506F6A"/>
    <w:rsid w:val="00523DFF"/>
    <w:rsid w:val="00543A50"/>
    <w:rsid w:val="005468C9"/>
    <w:rsid w:val="0058364D"/>
    <w:rsid w:val="00587AB4"/>
    <w:rsid w:val="005B1990"/>
    <w:rsid w:val="006157CA"/>
    <w:rsid w:val="00634717"/>
    <w:rsid w:val="00636FD5"/>
    <w:rsid w:val="00640150"/>
    <w:rsid w:val="00655A66"/>
    <w:rsid w:val="00682986"/>
    <w:rsid w:val="006E1326"/>
    <w:rsid w:val="00702489"/>
    <w:rsid w:val="007044BE"/>
    <w:rsid w:val="0073226A"/>
    <w:rsid w:val="00750A65"/>
    <w:rsid w:val="007A4C76"/>
    <w:rsid w:val="007A55A7"/>
    <w:rsid w:val="007E1C95"/>
    <w:rsid w:val="008077CC"/>
    <w:rsid w:val="008358D5"/>
    <w:rsid w:val="00841FF2"/>
    <w:rsid w:val="00856394"/>
    <w:rsid w:val="00874AA2"/>
    <w:rsid w:val="008D1F6F"/>
    <w:rsid w:val="008F02FA"/>
    <w:rsid w:val="00900829"/>
    <w:rsid w:val="00953F42"/>
    <w:rsid w:val="00984BF0"/>
    <w:rsid w:val="009E6937"/>
    <w:rsid w:val="00A13C70"/>
    <w:rsid w:val="00A235B3"/>
    <w:rsid w:val="00A351CD"/>
    <w:rsid w:val="00A6341F"/>
    <w:rsid w:val="00AB0191"/>
    <w:rsid w:val="00B106CC"/>
    <w:rsid w:val="00B277ED"/>
    <w:rsid w:val="00BA1FF0"/>
    <w:rsid w:val="00C360B6"/>
    <w:rsid w:val="00C63270"/>
    <w:rsid w:val="00C7665F"/>
    <w:rsid w:val="00C81A23"/>
    <w:rsid w:val="00CF1FC4"/>
    <w:rsid w:val="00CF4AD9"/>
    <w:rsid w:val="00D23884"/>
    <w:rsid w:val="00D27BA8"/>
    <w:rsid w:val="00D523F3"/>
    <w:rsid w:val="00D61811"/>
    <w:rsid w:val="00D64A12"/>
    <w:rsid w:val="00DF431A"/>
    <w:rsid w:val="00DF732E"/>
    <w:rsid w:val="00E11762"/>
    <w:rsid w:val="00E118AD"/>
    <w:rsid w:val="00E3267E"/>
    <w:rsid w:val="00E37CF5"/>
    <w:rsid w:val="00E87DA2"/>
    <w:rsid w:val="00E9183C"/>
    <w:rsid w:val="00EB0C2B"/>
    <w:rsid w:val="00EB7B41"/>
    <w:rsid w:val="00EC2B80"/>
    <w:rsid w:val="00ED68A3"/>
    <w:rsid w:val="00EE4FE6"/>
    <w:rsid w:val="00F457E8"/>
    <w:rsid w:val="00F46A3A"/>
    <w:rsid w:val="00F818F3"/>
    <w:rsid w:val="00F83213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7253F-3C06-43BA-8D2F-C24C491A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5A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5A7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05A74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05A74"/>
  </w:style>
  <w:style w:type="paragraph" w:styleId="Sidefod">
    <w:name w:val="footer"/>
    <w:basedOn w:val="Normal"/>
    <w:link w:val="SidefodTegn"/>
    <w:uiPriority w:val="99"/>
    <w:unhideWhenUsed/>
    <w:rsid w:val="00205A74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05A74"/>
  </w:style>
  <w:style w:type="character" w:styleId="Hyperlink">
    <w:name w:val="Hyperlink"/>
    <w:basedOn w:val="Standardskrifttypeiafsnit"/>
    <w:uiPriority w:val="99"/>
    <w:unhideWhenUsed/>
    <w:rsid w:val="00E91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centralen.dk/grundskolen/filmsprog/kontraktmodell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Silke Sønderbæk</dc:creator>
  <cp:lastModifiedBy>Susanne Silke Sønderbæk</cp:lastModifiedBy>
  <cp:revision>3</cp:revision>
  <cp:lastPrinted>2018-12-17T07:23:00Z</cp:lastPrinted>
  <dcterms:created xsi:type="dcterms:W3CDTF">2018-12-18T08:56:00Z</dcterms:created>
  <dcterms:modified xsi:type="dcterms:W3CDTF">2018-12-18T08:58:00Z</dcterms:modified>
</cp:coreProperties>
</file>