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BB71DF" w:rsidRDefault="00B54432">
      <w:r>
        <w:rPr>
          <w:noProof/>
        </w:rPr>
        <mc:AlternateContent>
          <mc:Choice Requires="wpg">
            <w:drawing>
              <wp:anchor distT="0" distB="0" distL="114300" distR="114300" simplePos="0" relativeHeight="251658240" behindDoc="0" locked="0" layoutInCell="1" hidden="0" allowOverlap="1">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BB71DF" w:rsidRDefault="00BB71DF">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5048250</wp:posOffset>
                </wp:positionH>
                <wp:positionV relativeFrom="paragraph">
                  <wp:posOffset>66675</wp:posOffset>
                </wp:positionV>
                <wp:extent cx="927100" cy="800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27100" cy="800100"/>
                        </a:xfrm>
                        <a:prstGeom prst="rect"/>
                        <a:ln/>
                      </pic:spPr>
                    </pic:pic>
                  </a:graphicData>
                </a:graphic>
              </wp:anchor>
            </w:drawing>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BB71DF">
        <w:trPr>
          <w:trHeight w:val="200"/>
        </w:trPr>
        <w:tc>
          <w:tcPr>
            <w:tcW w:w="1555" w:type="dxa"/>
          </w:tcPr>
          <w:p w:rsidR="00BB71DF" w:rsidRDefault="00B54432">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BB71DF" w:rsidRDefault="007C3FEB">
            <w:pPr>
              <w:pBdr>
                <w:top w:val="nil"/>
                <w:left w:val="nil"/>
                <w:bottom w:val="nil"/>
                <w:right w:val="nil"/>
                <w:between w:val="nil"/>
              </w:pBdr>
              <w:rPr>
                <w:b/>
                <w:color w:val="000000"/>
                <w:sz w:val="32"/>
                <w:szCs w:val="32"/>
              </w:rPr>
            </w:pPr>
            <w:r>
              <w:rPr>
                <w:b/>
                <w:sz w:val="32"/>
                <w:szCs w:val="32"/>
              </w:rPr>
              <w:t>Les V</w:t>
            </w:r>
            <w:r w:rsidR="00B54432">
              <w:rPr>
                <w:b/>
                <w:sz w:val="32"/>
                <w:szCs w:val="32"/>
              </w:rPr>
              <w:t>oisins</w:t>
            </w:r>
          </w:p>
        </w:tc>
        <w:tc>
          <w:tcPr>
            <w:tcW w:w="2262" w:type="dxa"/>
            <w:vMerge w:val="restart"/>
          </w:tcPr>
          <w:p w:rsidR="00BB71DF" w:rsidRDefault="008F6391">
            <w:pPr>
              <w:pBdr>
                <w:top w:val="nil"/>
                <w:left w:val="nil"/>
                <w:bottom w:val="nil"/>
                <w:right w:val="nil"/>
                <w:between w:val="nil"/>
              </w:pBdr>
              <w:rPr>
                <w:color w:val="000000"/>
              </w:rPr>
            </w:pPr>
            <w:r w:rsidRPr="008F6391">
              <w:rPr>
                <w:b/>
                <w:noProof/>
                <w:sz w:val="32"/>
                <w:szCs w:val="32"/>
              </w:rPr>
              <w:drawing>
                <wp:anchor distT="0" distB="0" distL="114300" distR="114300" simplePos="0" relativeHeight="251659264" behindDoc="0" locked="0" layoutInCell="1" allowOverlap="1">
                  <wp:simplePos x="0" y="0"/>
                  <wp:positionH relativeFrom="column">
                    <wp:posOffset>168275</wp:posOffset>
                  </wp:positionH>
                  <wp:positionV relativeFrom="paragraph">
                    <wp:posOffset>-278765</wp:posOffset>
                  </wp:positionV>
                  <wp:extent cx="1276350" cy="864624"/>
                  <wp:effectExtent l="0" t="0" r="0" b="0"/>
                  <wp:wrapNone/>
                  <wp:docPr id="4" name="Billede 4"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K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6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71DF" w:rsidRDefault="00BB71DF">
            <w:pPr>
              <w:pBdr>
                <w:top w:val="nil"/>
                <w:left w:val="nil"/>
                <w:bottom w:val="nil"/>
                <w:right w:val="nil"/>
                <w:between w:val="nil"/>
              </w:pBdr>
              <w:rPr>
                <w:color w:val="000000"/>
              </w:rPr>
            </w:pPr>
          </w:p>
          <w:p w:rsidR="00BB71DF" w:rsidRDefault="00BB71DF">
            <w:pPr>
              <w:pBdr>
                <w:top w:val="nil"/>
                <w:left w:val="nil"/>
                <w:bottom w:val="nil"/>
                <w:right w:val="nil"/>
                <w:between w:val="nil"/>
              </w:pBdr>
              <w:rPr>
                <w:color w:val="000000"/>
              </w:rPr>
            </w:pPr>
          </w:p>
          <w:p w:rsidR="00BB71DF" w:rsidRDefault="00BB71DF">
            <w:pPr>
              <w:pBdr>
                <w:top w:val="nil"/>
                <w:left w:val="nil"/>
                <w:bottom w:val="nil"/>
                <w:right w:val="nil"/>
                <w:between w:val="nil"/>
              </w:pBdr>
              <w:rPr>
                <w:color w:val="000000"/>
              </w:rPr>
            </w:pPr>
          </w:p>
          <w:p w:rsidR="00BB71DF" w:rsidRDefault="00BB71DF">
            <w:pPr>
              <w:pBdr>
                <w:top w:val="nil"/>
                <w:left w:val="nil"/>
                <w:bottom w:val="nil"/>
                <w:right w:val="nil"/>
                <w:between w:val="nil"/>
              </w:pBdr>
              <w:rPr>
                <w:color w:val="000000"/>
              </w:rPr>
            </w:pPr>
          </w:p>
          <w:p w:rsidR="00BB71DF" w:rsidRDefault="00BB71DF">
            <w:pPr>
              <w:pBdr>
                <w:top w:val="nil"/>
                <w:left w:val="nil"/>
                <w:bottom w:val="nil"/>
                <w:right w:val="nil"/>
                <w:between w:val="nil"/>
              </w:pBdr>
              <w:rPr>
                <w:color w:val="000000"/>
              </w:rPr>
            </w:pPr>
          </w:p>
        </w:tc>
      </w:tr>
      <w:tr w:rsidR="00BB71DF">
        <w:trPr>
          <w:trHeight w:val="200"/>
        </w:trPr>
        <w:tc>
          <w:tcPr>
            <w:tcW w:w="1555" w:type="dxa"/>
          </w:tcPr>
          <w:p w:rsidR="00BB71DF" w:rsidRDefault="00B54432">
            <w:pPr>
              <w:pBdr>
                <w:top w:val="nil"/>
                <w:left w:val="nil"/>
                <w:bottom w:val="nil"/>
                <w:right w:val="nil"/>
                <w:between w:val="nil"/>
              </w:pBdr>
              <w:rPr>
                <w:color w:val="000000"/>
              </w:rPr>
            </w:pPr>
            <w:r>
              <w:rPr>
                <w:color w:val="000000"/>
              </w:rPr>
              <w:t>Tema:</w:t>
            </w:r>
          </w:p>
        </w:tc>
        <w:tc>
          <w:tcPr>
            <w:tcW w:w="5811" w:type="dxa"/>
          </w:tcPr>
          <w:p w:rsidR="00BB71DF" w:rsidRDefault="00EB0513">
            <w:pPr>
              <w:pBdr>
                <w:top w:val="nil"/>
                <w:left w:val="nil"/>
                <w:bottom w:val="nil"/>
                <w:right w:val="nil"/>
                <w:between w:val="nil"/>
              </w:pBdr>
              <w:rPr>
                <w:color w:val="000000"/>
              </w:rPr>
            </w:pPr>
            <w:r>
              <w:t>L</w:t>
            </w:r>
            <w:r w:rsidR="00B54432">
              <w:t>a famille, storyline</w:t>
            </w:r>
          </w:p>
        </w:tc>
        <w:tc>
          <w:tcPr>
            <w:tcW w:w="2262" w:type="dxa"/>
            <w:vMerge/>
          </w:tcPr>
          <w:p w:rsidR="00BB71DF" w:rsidRDefault="00BB71DF">
            <w:pPr>
              <w:pBdr>
                <w:top w:val="nil"/>
                <w:left w:val="nil"/>
                <w:bottom w:val="nil"/>
                <w:right w:val="nil"/>
                <w:between w:val="nil"/>
              </w:pBdr>
              <w:rPr>
                <w:color w:val="000000"/>
              </w:rPr>
            </w:pPr>
          </w:p>
        </w:tc>
      </w:tr>
      <w:tr w:rsidR="00BB71DF">
        <w:trPr>
          <w:trHeight w:val="200"/>
        </w:trPr>
        <w:tc>
          <w:tcPr>
            <w:tcW w:w="1555" w:type="dxa"/>
          </w:tcPr>
          <w:p w:rsidR="00BB71DF" w:rsidRDefault="00B54432">
            <w:pPr>
              <w:pBdr>
                <w:top w:val="nil"/>
                <w:left w:val="nil"/>
                <w:bottom w:val="nil"/>
                <w:right w:val="nil"/>
                <w:between w:val="nil"/>
              </w:pBdr>
              <w:rPr>
                <w:color w:val="000000"/>
              </w:rPr>
            </w:pPr>
            <w:r>
              <w:rPr>
                <w:color w:val="000000"/>
              </w:rPr>
              <w:t xml:space="preserve">Fag:  </w:t>
            </w:r>
          </w:p>
        </w:tc>
        <w:tc>
          <w:tcPr>
            <w:tcW w:w="5811" w:type="dxa"/>
          </w:tcPr>
          <w:p w:rsidR="00BB71DF" w:rsidRDefault="00EB0513">
            <w:pPr>
              <w:pBdr>
                <w:top w:val="nil"/>
                <w:left w:val="nil"/>
                <w:bottom w:val="nil"/>
                <w:right w:val="nil"/>
                <w:between w:val="nil"/>
              </w:pBdr>
              <w:rPr>
                <w:color w:val="000000"/>
              </w:rPr>
            </w:pPr>
            <w:r>
              <w:t>F</w:t>
            </w:r>
            <w:r w:rsidR="00B54432">
              <w:t>ransk</w:t>
            </w:r>
          </w:p>
        </w:tc>
        <w:tc>
          <w:tcPr>
            <w:tcW w:w="2262" w:type="dxa"/>
            <w:vMerge/>
          </w:tcPr>
          <w:p w:rsidR="00BB71DF" w:rsidRDefault="00BB71DF">
            <w:pPr>
              <w:pBdr>
                <w:top w:val="nil"/>
                <w:left w:val="nil"/>
                <w:bottom w:val="nil"/>
                <w:right w:val="nil"/>
                <w:between w:val="nil"/>
              </w:pBdr>
              <w:rPr>
                <w:color w:val="000000"/>
              </w:rPr>
            </w:pPr>
          </w:p>
        </w:tc>
      </w:tr>
      <w:tr w:rsidR="00BB71DF">
        <w:trPr>
          <w:trHeight w:val="200"/>
        </w:trPr>
        <w:tc>
          <w:tcPr>
            <w:tcW w:w="1555" w:type="dxa"/>
          </w:tcPr>
          <w:p w:rsidR="00BB71DF" w:rsidRDefault="00B54432">
            <w:pPr>
              <w:pBdr>
                <w:top w:val="nil"/>
                <w:left w:val="nil"/>
                <w:bottom w:val="nil"/>
                <w:right w:val="nil"/>
                <w:between w:val="nil"/>
              </w:pBdr>
              <w:rPr>
                <w:color w:val="000000"/>
              </w:rPr>
            </w:pPr>
            <w:r>
              <w:rPr>
                <w:color w:val="000000"/>
              </w:rPr>
              <w:t>Målgruppe:</w:t>
            </w:r>
          </w:p>
        </w:tc>
        <w:tc>
          <w:tcPr>
            <w:tcW w:w="5811" w:type="dxa"/>
          </w:tcPr>
          <w:p w:rsidR="00BB71DF" w:rsidRDefault="00B54432">
            <w:pPr>
              <w:pBdr>
                <w:top w:val="nil"/>
                <w:left w:val="nil"/>
                <w:bottom w:val="nil"/>
                <w:right w:val="nil"/>
                <w:between w:val="nil"/>
              </w:pBdr>
              <w:rPr>
                <w:color w:val="000000"/>
              </w:rPr>
            </w:pPr>
            <w:r>
              <w:t>6. til 9.</w:t>
            </w:r>
            <w:r w:rsidR="00EB0513">
              <w:t xml:space="preserve"> </w:t>
            </w:r>
            <w:r>
              <w:t>klasse</w:t>
            </w:r>
          </w:p>
        </w:tc>
        <w:tc>
          <w:tcPr>
            <w:tcW w:w="2262" w:type="dxa"/>
            <w:vMerge/>
          </w:tcPr>
          <w:p w:rsidR="00BB71DF" w:rsidRDefault="00BB71DF">
            <w:pPr>
              <w:pBdr>
                <w:top w:val="nil"/>
                <w:left w:val="nil"/>
                <w:bottom w:val="nil"/>
                <w:right w:val="nil"/>
                <w:between w:val="nil"/>
              </w:pBdr>
              <w:rPr>
                <w:color w:val="000000"/>
              </w:rPr>
            </w:pPr>
          </w:p>
        </w:tc>
      </w:tr>
      <w:tr w:rsidR="00BB71DF">
        <w:tc>
          <w:tcPr>
            <w:tcW w:w="1555" w:type="dxa"/>
          </w:tcPr>
          <w:p w:rsidR="00BB71DF" w:rsidRDefault="00BB71DF">
            <w:pPr>
              <w:pBdr>
                <w:top w:val="nil"/>
                <w:left w:val="nil"/>
                <w:bottom w:val="nil"/>
                <w:right w:val="nil"/>
                <w:between w:val="nil"/>
              </w:pBdr>
              <w:rPr>
                <w:color w:val="000000"/>
              </w:rPr>
            </w:pPr>
          </w:p>
        </w:tc>
        <w:tc>
          <w:tcPr>
            <w:tcW w:w="5811" w:type="dxa"/>
          </w:tcPr>
          <w:p w:rsidR="00BB71DF" w:rsidRDefault="00BB71DF">
            <w:pPr>
              <w:pBdr>
                <w:top w:val="nil"/>
                <w:left w:val="nil"/>
                <w:bottom w:val="nil"/>
                <w:right w:val="nil"/>
                <w:between w:val="nil"/>
              </w:pBdr>
              <w:rPr>
                <w:color w:val="000000"/>
              </w:rPr>
            </w:pPr>
          </w:p>
        </w:tc>
        <w:tc>
          <w:tcPr>
            <w:tcW w:w="2262" w:type="dxa"/>
            <w:vMerge/>
          </w:tcPr>
          <w:p w:rsidR="00BB71DF" w:rsidRDefault="00BB71DF">
            <w:pPr>
              <w:pBdr>
                <w:top w:val="nil"/>
                <w:left w:val="nil"/>
                <w:bottom w:val="nil"/>
                <w:right w:val="nil"/>
                <w:between w:val="nil"/>
              </w:pBdr>
              <w:rPr>
                <w:color w:val="000000"/>
              </w:rPr>
            </w:pPr>
          </w:p>
        </w:tc>
      </w:tr>
      <w:tr w:rsidR="00BB71DF">
        <w:trPr>
          <w:trHeight w:val="10040"/>
        </w:trPr>
        <w:tc>
          <w:tcPr>
            <w:tcW w:w="1555" w:type="dxa"/>
          </w:tcPr>
          <w:p w:rsidR="00BB71DF" w:rsidRDefault="00BB71DF">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rsidR="00BB71DF" w:rsidRDefault="00B54432">
            <w:r>
              <w:rPr>
                <w:b/>
              </w:rPr>
              <w:t>Bog:</w:t>
            </w:r>
            <w:r w:rsidR="00EB195C">
              <w:t xml:space="preserve"> forfatter: Einat Tsarfati,</w:t>
            </w:r>
            <w:r>
              <w:t xml:space="preserve"> fo</w:t>
            </w:r>
            <w:r w:rsidR="0035483E">
              <w:t>rlag: Cambourakis, udgivelsesår:</w:t>
            </w:r>
            <w:r>
              <w:t xml:space="preserve"> 2017</w:t>
            </w:r>
          </w:p>
          <w:p w:rsidR="00BB71DF" w:rsidRDefault="00BB71DF"/>
          <w:p w:rsidR="00BB71DF" w:rsidRDefault="00B54432">
            <w:pPr>
              <w:rPr>
                <w:b/>
                <w:color w:val="1D266B"/>
                <w:sz w:val="32"/>
                <w:szCs w:val="32"/>
              </w:rPr>
            </w:pPr>
            <w:r>
              <w:rPr>
                <w:b/>
                <w:color w:val="1D266B"/>
                <w:sz w:val="32"/>
                <w:szCs w:val="32"/>
              </w:rPr>
              <w:t>Faglig relevans/kompetenceområder</w:t>
            </w:r>
          </w:p>
          <w:p w:rsidR="00BB71DF" w:rsidRDefault="00B54432">
            <w:r>
              <w:t xml:space="preserve">I den pædagogiske vejledning lægges der op til at arbejde med en kreativ og fabulerende tilgang samt med ordforrådet som afsæt for sprogproduktion. Vejledningen indeholder forslag til at arbejde med både mundtlig og skriftlig produktion i et multimodalt perspektiv. </w:t>
            </w:r>
          </w:p>
          <w:p w:rsidR="00BB71DF" w:rsidRDefault="00B54432">
            <w:pPr>
              <w:spacing w:before="240"/>
              <w:rPr>
                <w:b/>
                <w:color w:val="1D266B"/>
                <w:sz w:val="32"/>
                <w:szCs w:val="32"/>
              </w:rPr>
            </w:pPr>
            <w:r>
              <w:rPr>
                <w:b/>
                <w:color w:val="1D266B"/>
                <w:sz w:val="32"/>
                <w:szCs w:val="32"/>
              </w:rPr>
              <w:t>Ideer til undervisningen</w:t>
            </w:r>
          </w:p>
          <w:p w:rsidR="00BB71DF" w:rsidRDefault="00B54432">
            <w:pPr>
              <w:pBdr>
                <w:top w:val="nil"/>
                <w:left w:val="nil"/>
                <w:bottom w:val="nil"/>
                <w:right w:val="nil"/>
                <w:between w:val="nil"/>
              </w:pBdr>
              <w:spacing w:after="200"/>
            </w:pPr>
            <w:r>
              <w:t>Den</w:t>
            </w:r>
            <w:r w:rsidR="007C3FEB">
              <w:t xml:space="preserve"> lille pige, der åbner op for et</w:t>
            </w:r>
            <w:r>
              <w:t xml:space="preserve"> fantasifuldt univers, rammer ind i noget, vi sikkert alle kender… at være nysgerrige på, hvem ens naboer er! </w:t>
            </w:r>
          </w:p>
          <w:p w:rsidR="00BB71DF" w:rsidRDefault="00B54432">
            <w:pPr>
              <w:pBdr>
                <w:top w:val="nil"/>
                <w:left w:val="nil"/>
                <w:bottom w:val="nil"/>
                <w:right w:val="nil"/>
                <w:between w:val="nil"/>
              </w:pBdr>
              <w:spacing w:after="200"/>
            </w:pPr>
            <w:r>
              <w:t>Hvem er de? Hvor mange er de? Hvordan bor de? Hvad interesserer de sig for? Er de søde? Tør vi ringe på og invitere dem til en kop kaffe?</w:t>
            </w:r>
          </w:p>
          <w:p w:rsidR="00BB71DF" w:rsidRDefault="00B54432">
            <w:pPr>
              <w:pBdr>
                <w:top w:val="nil"/>
                <w:left w:val="nil"/>
                <w:bottom w:val="nil"/>
                <w:right w:val="nil"/>
                <w:between w:val="nil"/>
              </w:pBdr>
              <w:spacing w:after="200"/>
            </w:pPr>
            <w:r>
              <w:t>Bogen lægger op til at arbejde med en undersøgende tilgang, hvorfor fantasi og nysgerrighed kommer i spil, hvilket er centrale elementer til at stimulere sprogproduktion. Desuden gør fortællingen i bogen op med stereotyper og fremmer et anerkendende syn på, at der eksisterer mange forskellige måder at leve på.</w:t>
            </w:r>
          </w:p>
          <w:p w:rsidR="00BB71DF" w:rsidRDefault="00B54432">
            <w:pPr>
              <w:pBdr>
                <w:top w:val="nil"/>
                <w:left w:val="nil"/>
                <w:bottom w:val="nil"/>
                <w:right w:val="nil"/>
                <w:between w:val="nil"/>
              </w:pBdr>
              <w:spacing w:after="200"/>
            </w:pPr>
            <w:r>
              <w:t>Bogen kan anvendes på mange sproglige- og abstraktionsniveauer, og inden man går i gang med at arbejde med bogen i undervisningen, er det en god idé at gøre sig overvejelser om:</w:t>
            </w:r>
          </w:p>
          <w:p w:rsidR="00BB71DF" w:rsidRDefault="00B54432">
            <w:pPr>
              <w:numPr>
                <w:ilvl w:val="0"/>
                <w:numId w:val="1"/>
              </w:numPr>
            </w:pPr>
            <w:r>
              <w:t>Hvordan du vil inddrage elevernes sproglige viden om temaet, “familien” i planlægningen af forløbet og hvilke sproglige handlinger, du ønske</w:t>
            </w:r>
            <w:r w:rsidR="007C3FEB">
              <w:t>r at rammesætte</w:t>
            </w:r>
            <w:r>
              <w:t xml:space="preserve"> for eleverne.</w:t>
            </w:r>
          </w:p>
          <w:p w:rsidR="00BB71DF" w:rsidRDefault="00B54432">
            <w:pPr>
              <w:numPr>
                <w:ilvl w:val="0"/>
                <w:numId w:val="1"/>
              </w:numPr>
              <w:pBdr>
                <w:top w:val="nil"/>
                <w:left w:val="nil"/>
                <w:bottom w:val="nil"/>
                <w:right w:val="nil"/>
                <w:between w:val="nil"/>
              </w:pBdr>
            </w:pPr>
            <w:r>
              <w:t>Hvilke familietyper</w:t>
            </w:r>
            <w:r w:rsidR="007C3FEB">
              <w:t>,</w:t>
            </w:r>
            <w:r>
              <w:t xml:space="preserve"> der er på holdet, og hvordan du kan inddrage elevernes viden om familietyper og måder at indrette sig</w:t>
            </w:r>
            <w:r w:rsidR="007C3FEB">
              <w:t xml:space="preserve"> på</w:t>
            </w:r>
            <w:r>
              <w:t xml:space="preserve"> i pla</w:t>
            </w:r>
            <w:r w:rsidR="00E23A45">
              <w:t>nlægningen af din undervisning</w:t>
            </w:r>
            <w:r>
              <w:t>.</w:t>
            </w:r>
          </w:p>
          <w:p w:rsidR="00BB71DF" w:rsidRDefault="00B54432">
            <w:pPr>
              <w:numPr>
                <w:ilvl w:val="0"/>
                <w:numId w:val="1"/>
              </w:numPr>
              <w:pBdr>
                <w:top w:val="nil"/>
                <w:left w:val="nil"/>
                <w:bottom w:val="nil"/>
                <w:right w:val="nil"/>
                <w:between w:val="nil"/>
              </w:pBdr>
              <w:spacing w:after="200"/>
            </w:pPr>
            <w:r>
              <w:t>De eventuelle problematikker, der kan være forbundet med at tale om familieliv og stereotyper, og hvordan du kan skabe en anerkendende dialog om, at der findes forskellige måder at indrette sit liv på.</w:t>
            </w:r>
          </w:p>
          <w:p w:rsidR="00BB71DF" w:rsidRDefault="00B54432">
            <w:pPr>
              <w:pBdr>
                <w:top w:val="nil"/>
                <w:left w:val="nil"/>
                <w:bottom w:val="nil"/>
                <w:right w:val="nil"/>
                <w:between w:val="nil"/>
              </w:pBdr>
              <w:rPr>
                <w:b/>
              </w:rPr>
            </w:pPr>
            <w:r>
              <w:rPr>
                <w:b/>
              </w:rPr>
              <w:t xml:space="preserve">Indledning </w:t>
            </w:r>
          </w:p>
          <w:p w:rsidR="00BB71DF" w:rsidRDefault="00B54432">
            <w:pPr>
              <w:pBdr>
                <w:top w:val="nil"/>
                <w:left w:val="nil"/>
                <w:bottom w:val="nil"/>
                <w:right w:val="nil"/>
                <w:between w:val="nil"/>
              </w:pBdr>
              <w:spacing w:after="200"/>
            </w:pPr>
            <w:r>
              <w:t xml:space="preserve">Inden bogen anvendes, kan der evt. vises den korte animation på 1,5  minut: </w:t>
            </w:r>
            <w:hyperlink r:id="rId9">
              <w:r>
                <w:rPr>
                  <w:color w:val="1155CC"/>
                  <w:u w:val="single"/>
                </w:rPr>
                <w:t>https://www.youtube.com/watch?v=oVUqjtK9xME</w:t>
              </w:r>
            </w:hyperlink>
          </w:p>
          <w:p w:rsidR="00BB71DF" w:rsidRDefault="00B54432">
            <w:pPr>
              <w:pBdr>
                <w:top w:val="nil"/>
                <w:left w:val="nil"/>
                <w:bottom w:val="nil"/>
                <w:right w:val="nil"/>
                <w:between w:val="nil"/>
              </w:pBdr>
              <w:spacing w:after="200"/>
            </w:pPr>
            <w:r>
              <w:t>Eleverne ka</w:t>
            </w:r>
            <w:r w:rsidR="007C3FEB">
              <w:t>n spørges om, hvad titlen ”Les V</w:t>
            </w:r>
            <w:r>
              <w:t>oisins” betyder og hvilke associationer og oplevelser, de forbinder med ordet ”naboer”. I kan brainstorme sammen og således aktivere det ordforråd, der allerede eksisterer på holdet.</w:t>
            </w:r>
          </w:p>
          <w:p w:rsidR="00BB71DF" w:rsidRDefault="00B54432">
            <w:pPr>
              <w:pBdr>
                <w:top w:val="nil"/>
                <w:left w:val="nil"/>
                <w:bottom w:val="nil"/>
                <w:right w:val="nil"/>
                <w:between w:val="nil"/>
              </w:pBdr>
              <w:rPr>
                <w:b/>
              </w:rPr>
            </w:pPr>
            <w:r>
              <w:rPr>
                <w:b/>
              </w:rPr>
              <w:lastRenderedPageBreak/>
              <w:t>Gættestrategier og arbejdet med ordforråd</w:t>
            </w:r>
          </w:p>
          <w:p w:rsidR="00BB71DF" w:rsidRDefault="00B54432">
            <w:pPr>
              <w:pBdr>
                <w:top w:val="nil"/>
                <w:left w:val="nil"/>
                <w:bottom w:val="nil"/>
                <w:right w:val="nil"/>
                <w:between w:val="nil"/>
              </w:pBdr>
            </w:pPr>
            <w:r>
              <w:t>Det kan være en god idé at læse bogen højt for eleverne og lad</w:t>
            </w:r>
            <w:r w:rsidR="007C3FEB">
              <w:t>e</w:t>
            </w:r>
            <w:r>
              <w:t xml:space="preserve"> dem gå på opdagelse i tekst og billeder. Giv eleverne tid til at gætte på alle de ord og udtryk de kan. </w:t>
            </w:r>
          </w:p>
          <w:p w:rsidR="00BB71DF" w:rsidRDefault="00B54432">
            <w:pPr>
              <w:pBdr>
                <w:top w:val="nil"/>
                <w:left w:val="nil"/>
                <w:bottom w:val="nil"/>
                <w:right w:val="nil"/>
                <w:between w:val="nil"/>
              </w:pBdr>
              <w:spacing w:after="200"/>
            </w:pPr>
            <w:r>
              <w:t xml:space="preserve">Opfordr dem til at trække på deres viden om andre sprog og ordfamilier. </w:t>
            </w:r>
          </w:p>
          <w:p w:rsidR="00BB71DF" w:rsidRDefault="00B54432">
            <w:pPr>
              <w:pBdr>
                <w:top w:val="nil"/>
                <w:left w:val="nil"/>
                <w:bottom w:val="nil"/>
                <w:right w:val="nil"/>
                <w:between w:val="nil"/>
              </w:pBdr>
              <w:spacing w:after="200"/>
            </w:pPr>
            <w:r>
              <w:t xml:space="preserve">En sjov aktivitet, der kan gå meget sport i, er at lade eleverne gå på jagt efter </w:t>
            </w:r>
            <w:r w:rsidR="007C3FEB">
              <w:t>den lille forsvundne hamster. De</w:t>
            </w:r>
            <w:r>
              <w:t>n gemmer sig i de forskellige lejligheder og er ikke helt nem at finde! Se, om de kan fortælle på fransk, hvor den gemmer sig.</w:t>
            </w:r>
          </w:p>
          <w:p w:rsidR="00BB71DF" w:rsidRDefault="00B54432">
            <w:pPr>
              <w:pBdr>
                <w:top w:val="nil"/>
                <w:left w:val="nil"/>
                <w:bottom w:val="nil"/>
                <w:right w:val="nil"/>
                <w:between w:val="nil"/>
              </w:pBdr>
              <w:spacing w:after="200"/>
            </w:pPr>
            <w:r>
              <w:t>Nedenstående ark kan bruges til at arbejde i dybden med ordforrådet og udtryk</w:t>
            </w:r>
            <w:r w:rsidR="00E23A45">
              <w:t xml:space="preserve">kene fra teksten. Eleverne kan </w:t>
            </w:r>
            <w:r>
              <w:t>fx. sortere ordene i dem de kender eller kan gætte sig til eller i de ord, der er nemme eller svære at huske eller udtale. Ordene kan også sorteres i den rækkefølge, de optræder i bogen. Find selv på flere måder at bruge ordene:  associationsleg, quiz byt, fluesmækkerleg, hukommelsesleg, osv.</w:t>
            </w:r>
          </w:p>
          <w:p w:rsidR="00BB71DF" w:rsidRDefault="00B54432">
            <w:pPr>
              <w:pBdr>
                <w:top w:val="nil"/>
                <w:left w:val="nil"/>
                <w:bottom w:val="nil"/>
                <w:right w:val="nil"/>
                <w:between w:val="nil"/>
              </w:pBdr>
              <w:spacing w:after="200"/>
              <w:rPr>
                <w:b/>
              </w:rPr>
            </w:pPr>
            <w:r>
              <w:rPr>
                <w:b/>
              </w:rPr>
              <w:t>Vocabulaire et expressions</w:t>
            </w:r>
          </w:p>
          <w:tbl>
            <w:tblPr>
              <w:tblStyle w:val="a0"/>
              <w:tblW w:w="7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7"/>
              <w:gridCol w:w="1757"/>
              <w:gridCol w:w="1757"/>
              <w:gridCol w:w="1757"/>
            </w:tblGrid>
            <w:tr w:rsidR="00BB71DF" w:rsidTr="00E23A45">
              <w:tc>
                <w:tcPr>
                  <w:tcW w:w="1757" w:type="dxa"/>
                  <w:shd w:val="clear" w:color="auto" w:fill="auto"/>
                  <w:tcMar>
                    <w:top w:w="100" w:type="dxa"/>
                    <w:left w:w="100" w:type="dxa"/>
                    <w:bottom w:w="100" w:type="dxa"/>
                    <w:right w:w="100" w:type="dxa"/>
                  </w:tcMar>
                </w:tcPr>
                <w:p w:rsidR="00BB71DF" w:rsidRDefault="00B54432">
                  <w:pPr>
                    <w:rPr>
                      <w:b/>
                    </w:rPr>
                  </w:pPr>
                  <w:r>
                    <w:t>des voisins</w:t>
                  </w:r>
                </w:p>
              </w:tc>
              <w:tc>
                <w:tcPr>
                  <w:tcW w:w="1757" w:type="dxa"/>
                  <w:shd w:val="clear" w:color="auto" w:fill="auto"/>
                  <w:tcMar>
                    <w:top w:w="100" w:type="dxa"/>
                    <w:left w:w="100" w:type="dxa"/>
                    <w:bottom w:w="100" w:type="dxa"/>
                    <w:right w:w="100" w:type="dxa"/>
                  </w:tcMar>
                </w:tcPr>
                <w:p w:rsidR="00BB71DF" w:rsidRDefault="00B54432">
                  <w:pPr>
                    <w:rPr>
                      <w:b/>
                    </w:rPr>
                  </w:pPr>
                  <w:r>
                    <w:t>un verrou</w:t>
                  </w:r>
                </w:p>
              </w:tc>
              <w:tc>
                <w:tcPr>
                  <w:tcW w:w="1757" w:type="dxa"/>
                  <w:shd w:val="clear" w:color="auto" w:fill="auto"/>
                  <w:tcMar>
                    <w:top w:w="100" w:type="dxa"/>
                    <w:left w:w="100" w:type="dxa"/>
                    <w:bottom w:w="100" w:type="dxa"/>
                    <w:right w:w="100" w:type="dxa"/>
                  </w:tcMar>
                </w:tcPr>
                <w:p w:rsidR="00BB71DF" w:rsidRDefault="00B54432">
                  <w:pPr>
                    <w:rPr>
                      <w:b/>
                    </w:rPr>
                  </w:pPr>
                  <w:r>
                    <w:t>une roue</w:t>
                  </w:r>
                  <w:r>
                    <w:tab/>
                  </w:r>
                </w:p>
              </w:tc>
              <w:tc>
                <w:tcPr>
                  <w:tcW w:w="1757" w:type="dxa"/>
                  <w:shd w:val="clear" w:color="auto" w:fill="auto"/>
                  <w:tcMar>
                    <w:top w:w="100" w:type="dxa"/>
                    <w:left w:w="100" w:type="dxa"/>
                    <w:bottom w:w="100" w:type="dxa"/>
                    <w:right w:w="100" w:type="dxa"/>
                  </w:tcMar>
                </w:tcPr>
                <w:p w:rsidR="00BB71DF" w:rsidRDefault="00B54432">
                  <w:r>
                    <w:t>un spectacle</w:t>
                  </w:r>
                </w:p>
                <w:p w:rsidR="00BB71DF" w:rsidRDefault="00BB71DF">
                  <w:pPr>
                    <w:pBdr>
                      <w:top w:val="nil"/>
                      <w:left w:val="nil"/>
                      <w:bottom w:val="nil"/>
                      <w:right w:val="nil"/>
                      <w:between w:val="nil"/>
                    </w:pBdr>
                    <w:spacing w:after="0"/>
                  </w:pPr>
                </w:p>
              </w:tc>
            </w:tr>
            <w:tr w:rsidR="00BB71DF" w:rsidTr="00E23A45">
              <w:tc>
                <w:tcPr>
                  <w:tcW w:w="1757" w:type="dxa"/>
                  <w:shd w:val="clear" w:color="auto" w:fill="auto"/>
                  <w:tcMar>
                    <w:top w:w="100" w:type="dxa"/>
                    <w:left w:w="100" w:type="dxa"/>
                    <w:bottom w:w="100" w:type="dxa"/>
                    <w:right w:w="100" w:type="dxa"/>
                  </w:tcMar>
                </w:tcPr>
                <w:p w:rsidR="00BB71DF" w:rsidRDefault="00B54432">
                  <w:pPr>
                    <w:rPr>
                      <w:b/>
                    </w:rPr>
                  </w:pPr>
                  <w:r>
                    <w:t>un brigand</w:t>
                  </w:r>
                  <w:r>
                    <w:tab/>
                  </w:r>
                </w:p>
              </w:tc>
              <w:tc>
                <w:tcPr>
                  <w:tcW w:w="1757" w:type="dxa"/>
                  <w:shd w:val="clear" w:color="auto" w:fill="auto"/>
                  <w:tcMar>
                    <w:top w:w="100" w:type="dxa"/>
                    <w:left w:w="100" w:type="dxa"/>
                    <w:bottom w:w="100" w:type="dxa"/>
                    <w:right w:w="100" w:type="dxa"/>
                  </w:tcMar>
                </w:tcPr>
                <w:p w:rsidR="00BB71DF" w:rsidRDefault="00B54432">
                  <w:pPr>
                    <w:rPr>
                      <w:b/>
                    </w:rPr>
                  </w:pPr>
                  <w:r>
                    <w:t>un corsaire</w:t>
                  </w:r>
                  <w:r>
                    <w:tab/>
                  </w:r>
                </w:p>
              </w:tc>
              <w:tc>
                <w:tcPr>
                  <w:tcW w:w="1757" w:type="dxa"/>
                  <w:shd w:val="clear" w:color="auto" w:fill="auto"/>
                  <w:tcMar>
                    <w:top w:w="100" w:type="dxa"/>
                    <w:left w:w="100" w:type="dxa"/>
                    <w:bottom w:w="100" w:type="dxa"/>
                    <w:right w:w="100" w:type="dxa"/>
                  </w:tcMar>
                </w:tcPr>
                <w:p w:rsidR="00BB71DF" w:rsidRDefault="00B54432">
                  <w:pPr>
                    <w:rPr>
                      <w:b/>
                    </w:rPr>
                  </w:pPr>
                  <w:r>
                    <w:t>un vieux chasseur</w:t>
                  </w:r>
                </w:p>
              </w:tc>
              <w:tc>
                <w:tcPr>
                  <w:tcW w:w="1757" w:type="dxa"/>
                  <w:shd w:val="clear" w:color="auto" w:fill="auto"/>
                  <w:tcMar>
                    <w:top w:w="100" w:type="dxa"/>
                    <w:left w:w="100" w:type="dxa"/>
                    <w:bottom w:w="100" w:type="dxa"/>
                    <w:right w:w="100" w:type="dxa"/>
                  </w:tcMar>
                </w:tcPr>
                <w:p w:rsidR="00BB71DF" w:rsidRDefault="00B54432">
                  <w:pPr>
                    <w:rPr>
                      <w:b/>
                    </w:rPr>
                  </w:pPr>
                  <w:r>
                    <w:t>des traces de boue</w:t>
                  </w:r>
                </w:p>
              </w:tc>
            </w:tr>
            <w:tr w:rsidR="00BB71DF" w:rsidTr="00E23A45">
              <w:tc>
                <w:tcPr>
                  <w:tcW w:w="1757" w:type="dxa"/>
                  <w:shd w:val="clear" w:color="auto" w:fill="auto"/>
                  <w:tcMar>
                    <w:top w:w="100" w:type="dxa"/>
                    <w:left w:w="100" w:type="dxa"/>
                    <w:bottom w:w="100" w:type="dxa"/>
                    <w:right w:w="100" w:type="dxa"/>
                  </w:tcMar>
                </w:tcPr>
                <w:p w:rsidR="00BB71DF" w:rsidRDefault="00B54432">
                  <w:pPr>
                    <w:rPr>
                      <w:b/>
                    </w:rPr>
                  </w:pPr>
                  <w:r>
                    <w:t>dans mon immeuble</w:t>
                  </w:r>
                  <w:r>
                    <w:tab/>
                  </w:r>
                </w:p>
              </w:tc>
              <w:tc>
                <w:tcPr>
                  <w:tcW w:w="1757" w:type="dxa"/>
                  <w:shd w:val="clear" w:color="auto" w:fill="auto"/>
                  <w:tcMar>
                    <w:top w:w="100" w:type="dxa"/>
                    <w:left w:w="100" w:type="dxa"/>
                    <w:bottom w:w="100" w:type="dxa"/>
                    <w:right w:w="100" w:type="dxa"/>
                  </w:tcMar>
                </w:tcPr>
                <w:p w:rsidR="00BB71DF" w:rsidRDefault="00B54432">
                  <w:pPr>
                    <w:rPr>
                      <w:b/>
                    </w:rPr>
                  </w:pPr>
                  <w:r>
                    <w:t>un tigre de compagnie</w:t>
                  </w:r>
                </w:p>
              </w:tc>
              <w:tc>
                <w:tcPr>
                  <w:tcW w:w="1757" w:type="dxa"/>
                  <w:shd w:val="clear" w:color="auto" w:fill="auto"/>
                  <w:tcMar>
                    <w:top w:w="100" w:type="dxa"/>
                    <w:left w:w="100" w:type="dxa"/>
                    <w:bottom w:w="100" w:type="dxa"/>
                    <w:right w:w="100" w:type="dxa"/>
                  </w:tcMar>
                </w:tcPr>
                <w:p w:rsidR="00BB71DF" w:rsidRDefault="00B54432">
                  <w:pPr>
                    <w:rPr>
                      <w:b/>
                    </w:rPr>
                  </w:pPr>
                  <w:r>
                    <w:t>à chaque étage</w:t>
                  </w:r>
                </w:p>
              </w:tc>
              <w:tc>
                <w:tcPr>
                  <w:tcW w:w="1757" w:type="dxa"/>
                  <w:shd w:val="clear" w:color="auto" w:fill="auto"/>
                  <w:tcMar>
                    <w:top w:w="100" w:type="dxa"/>
                    <w:left w:w="100" w:type="dxa"/>
                    <w:bottom w:w="100" w:type="dxa"/>
                    <w:right w:w="100" w:type="dxa"/>
                  </w:tcMar>
                </w:tcPr>
                <w:p w:rsidR="00BB71DF" w:rsidRDefault="00B54432">
                  <w:pPr>
                    <w:rPr>
                      <w:b/>
                    </w:rPr>
                  </w:pPr>
                  <w:r>
                    <w:t>une fois par semaine</w:t>
                  </w:r>
                </w:p>
              </w:tc>
            </w:tr>
            <w:tr w:rsidR="00BB71DF" w:rsidTr="00E23A45">
              <w:tc>
                <w:tcPr>
                  <w:tcW w:w="1757" w:type="dxa"/>
                  <w:shd w:val="clear" w:color="auto" w:fill="auto"/>
                  <w:tcMar>
                    <w:top w:w="100" w:type="dxa"/>
                    <w:left w:w="100" w:type="dxa"/>
                    <w:bottom w:w="100" w:type="dxa"/>
                    <w:right w:w="100" w:type="dxa"/>
                  </w:tcMar>
                </w:tcPr>
                <w:p w:rsidR="00BB71DF" w:rsidRDefault="00B54432">
                  <w:pPr>
                    <w:rPr>
                      <w:b/>
                    </w:rPr>
                  </w:pPr>
                  <w:r>
                    <w:t>c’est l’appartement de</w:t>
                  </w:r>
                </w:p>
              </w:tc>
              <w:tc>
                <w:tcPr>
                  <w:tcW w:w="1757" w:type="dxa"/>
                  <w:shd w:val="clear" w:color="auto" w:fill="auto"/>
                  <w:tcMar>
                    <w:top w:w="100" w:type="dxa"/>
                    <w:left w:w="100" w:type="dxa"/>
                    <w:bottom w:w="100" w:type="dxa"/>
                    <w:right w:w="100" w:type="dxa"/>
                  </w:tcMar>
                </w:tcPr>
                <w:p w:rsidR="00BB71DF" w:rsidRPr="00DC504D" w:rsidRDefault="00B54432">
                  <w:pPr>
                    <w:rPr>
                      <w:b/>
                      <w:lang w:val="en-US"/>
                    </w:rPr>
                  </w:pPr>
                  <w:r w:rsidRPr="00DC504D">
                    <w:rPr>
                      <w:lang w:val="en-US"/>
                    </w:rPr>
                    <w:t>il y a une porte</w:t>
                  </w:r>
                </w:p>
              </w:tc>
              <w:tc>
                <w:tcPr>
                  <w:tcW w:w="1757" w:type="dxa"/>
                  <w:shd w:val="clear" w:color="auto" w:fill="auto"/>
                  <w:tcMar>
                    <w:top w:w="100" w:type="dxa"/>
                    <w:left w:w="100" w:type="dxa"/>
                    <w:bottom w:w="100" w:type="dxa"/>
                    <w:right w:w="100" w:type="dxa"/>
                  </w:tcMar>
                </w:tcPr>
                <w:p w:rsidR="00BB71DF" w:rsidRDefault="00B54432">
                  <w:pPr>
                    <w:rPr>
                      <w:b/>
                    </w:rPr>
                  </w:pPr>
                  <w:r>
                    <w:t>ça sent le poisson</w:t>
                  </w:r>
                </w:p>
              </w:tc>
              <w:tc>
                <w:tcPr>
                  <w:tcW w:w="1757" w:type="dxa"/>
                  <w:shd w:val="clear" w:color="auto" w:fill="auto"/>
                  <w:tcMar>
                    <w:top w:w="100" w:type="dxa"/>
                    <w:left w:w="100" w:type="dxa"/>
                    <w:bottom w:w="100" w:type="dxa"/>
                    <w:right w:w="100" w:type="dxa"/>
                  </w:tcMar>
                </w:tcPr>
                <w:p w:rsidR="00BB71DF" w:rsidRDefault="00B54432">
                  <w:pPr>
                    <w:rPr>
                      <w:b/>
                    </w:rPr>
                  </w:pPr>
                  <w:r>
                    <w:t>la lumière s’éteint</w:t>
                  </w:r>
                </w:p>
              </w:tc>
            </w:tr>
            <w:tr w:rsidR="00BB71DF" w:rsidTr="00E23A45">
              <w:tc>
                <w:tcPr>
                  <w:tcW w:w="1757" w:type="dxa"/>
                  <w:shd w:val="clear" w:color="auto" w:fill="auto"/>
                  <w:tcMar>
                    <w:top w:w="100" w:type="dxa"/>
                    <w:left w:w="100" w:type="dxa"/>
                    <w:bottom w:w="100" w:type="dxa"/>
                    <w:right w:w="100" w:type="dxa"/>
                  </w:tcMar>
                </w:tcPr>
                <w:p w:rsidR="00BB71DF" w:rsidRDefault="00B54432">
                  <w:pPr>
                    <w:rPr>
                      <w:b/>
                    </w:rPr>
                  </w:pPr>
                  <w:r>
                    <w:t>ils collectionnent des trésors</w:t>
                  </w:r>
                </w:p>
              </w:tc>
              <w:tc>
                <w:tcPr>
                  <w:tcW w:w="1757" w:type="dxa"/>
                  <w:shd w:val="clear" w:color="auto" w:fill="auto"/>
                  <w:tcMar>
                    <w:top w:w="100" w:type="dxa"/>
                    <w:left w:w="100" w:type="dxa"/>
                    <w:bottom w:w="100" w:type="dxa"/>
                    <w:right w:w="100" w:type="dxa"/>
                  </w:tcMar>
                </w:tcPr>
                <w:p w:rsidR="00BB71DF" w:rsidRPr="00DC504D" w:rsidRDefault="00B54432">
                  <w:pPr>
                    <w:rPr>
                      <w:b/>
                      <w:lang w:val="en-US"/>
                    </w:rPr>
                  </w:pPr>
                  <w:r w:rsidRPr="00DC504D">
                    <w:rPr>
                      <w:lang w:val="en-US"/>
                    </w:rPr>
                    <w:t>ils sont occupés à préparer</w:t>
                  </w:r>
                  <w:r w:rsidRPr="00DC504D">
                    <w:rPr>
                      <w:lang w:val="en-US"/>
                    </w:rPr>
                    <w:tab/>
                  </w:r>
                </w:p>
              </w:tc>
              <w:tc>
                <w:tcPr>
                  <w:tcW w:w="1757" w:type="dxa"/>
                  <w:shd w:val="clear" w:color="auto" w:fill="auto"/>
                  <w:tcMar>
                    <w:top w:w="100" w:type="dxa"/>
                    <w:left w:w="100" w:type="dxa"/>
                    <w:bottom w:w="100" w:type="dxa"/>
                    <w:right w:w="100" w:type="dxa"/>
                  </w:tcMar>
                </w:tcPr>
                <w:p w:rsidR="00BB71DF" w:rsidRDefault="00B54432">
                  <w:pPr>
                    <w:rPr>
                      <w:b/>
                    </w:rPr>
                  </w:pPr>
                  <w:r>
                    <w:t>ils sont heureux</w:t>
                  </w:r>
                </w:p>
              </w:tc>
              <w:tc>
                <w:tcPr>
                  <w:tcW w:w="1757" w:type="dxa"/>
                  <w:shd w:val="clear" w:color="auto" w:fill="auto"/>
                  <w:tcMar>
                    <w:top w:w="100" w:type="dxa"/>
                    <w:left w:w="100" w:type="dxa"/>
                    <w:bottom w:w="100" w:type="dxa"/>
                    <w:right w:w="100" w:type="dxa"/>
                  </w:tcMar>
                </w:tcPr>
                <w:p w:rsidR="00BB71DF" w:rsidRDefault="00B54432">
                  <w:pPr>
                    <w:rPr>
                      <w:b/>
                    </w:rPr>
                  </w:pPr>
                  <w:r>
                    <w:t>ils sont ennuyeux</w:t>
                  </w:r>
                </w:p>
              </w:tc>
            </w:tr>
          </w:tbl>
          <w:p w:rsidR="00E23A45" w:rsidRDefault="00E23A45">
            <w:pPr>
              <w:pBdr>
                <w:top w:val="nil"/>
                <w:left w:val="nil"/>
                <w:bottom w:val="nil"/>
                <w:right w:val="nil"/>
                <w:between w:val="nil"/>
              </w:pBdr>
              <w:rPr>
                <w:b/>
              </w:rPr>
            </w:pPr>
          </w:p>
          <w:p w:rsidR="00BB71DF" w:rsidRDefault="00B54432">
            <w:pPr>
              <w:pBdr>
                <w:top w:val="nil"/>
                <w:left w:val="nil"/>
                <w:bottom w:val="nil"/>
                <w:right w:val="nil"/>
                <w:between w:val="nil"/>
              </w:pBdr>
              <w:rPr>
                <w:b/>
              </w:rPr>
            </w:pPr>
            <w:r>
              <w:rPr>
                <w:b/>
              </w:rPr>
              <w:t>Fortællinger med afsæt i billederne</w:t>
            </w:r>
          </w:p>
          <w:p w:rsidR="00BB71DF" w:rsidRDefault="00B54432">
            <w:pPr>
              <w:pBdr>
                <w:top w:val="nil"/>
                <w:left w:val="nil"/>
                <w:bottom w:val="nil"/>
                <w:right w:val="nil"/>
                <w:between w:val="nil"/>
              </w:pBdr>
              <w:spacing w:after="200"/>
            </w:pPr>
            <w:r>
              <w:t>Illustrationerne er farverige og fulde af detaljer. De egner sig som afsæt til at skabe små fortællinger. Eleverne kan fortælle i 1. person, som om de selv var en person fra billedet, eller de kan fortælle i 3. person fra den lille pige synsvinkel.</w:t>
            </w:r>
          </w:p>
          <w:p w:rsidR="00BB71DF" w:rsidRDefault="00B54432">
            <w:pPr>
              <w:pBdr>
                <w:top w:val="nil"/>
                <w:left w:val="nil"/>
                <w:bottom w:val="nil"/>
                <w:right w:val="nil"/>
                <w:between w:val="nil"/>
              </w:pBdr>
            </w:pPr>
            <w:r>
              <w:t>Eleverne kan:</w:t>
            </w:r>
          </w:p>
          <w:p w:rsidR="00BB71DF" w:rsidRDefault="007C3FEB">
            <w:pPr>
              <w:numPr>
                <w:ilvl w:val="0"/>
                <w:numId w:val="3"/>
              </w:numPr>
              <w:pBdr>
                <w:top w:val="nil"/>
                <w:left w:val="nil"/>
                <w:bottom w:val="nil"/>
                <w:right w:val="nil"/>
                <w:between w:val="nil"/>
              </w:pBdr>
            </w:pPr>
            <w:r>
              <w:t>B</w:t>
            </w:r>
            <w:r w:rsidR="00B54432">
              <w:t>eskrive</w:t>
            </w:r>
            <w:r>
              <w:t>,</w:t>
            </w:r>
            <w:r w:rsidR="00B54432">
              <w:t xml:space="preserve"> hvad de ser på billedet og hvad de synes om billedet</w:t>
            </w:r>
          </w:p>
          <w:p w:rsidR="00BB71DF" w:rsidRDefault="00B54432">
            <w:pPr>
              <w:numPr>
                <w:ilvl w:val="0"/>
                <w:numId w:val="3"/>
              </w:numPr>
              <w:pBdr>
                <w:top w:val="nil"/>
                <w:left w:val="nil"/>
                <w:bottom w:val="nil"/>
                <w:right w:val="nil"/>
                <w:between w:val="nil"/>
              </w:pBdr>
            </w:pPr>
            <w:r>
              <w:t>være en af person</w:t>
            </w:r>
            <w:r w:rsidR="007C3FEB">
              <w:t>erne</w:t>
            </w:r>
            <w:r>
              <w:t xml:space="preserve"> på billedet og fortælle om, hvordan de bor</w:t>
            </w:r>
          </w:p>
          <w:p w:rsidR="00BB71DF" w:rsidRDefault="00B54432">
            <w:pPr>
              <w:numPr>
                <w:ilvl w:val="0"/>
                <w:numId w:val="3"/>
              </w:numPr>
              <w:pBdr>
                <w:top w:val="nil"/>
                <w:left w:val="nil"/>
                <w:bottom w:val="nil"/>
                <w:right w:val="nil"/>
                <w:between w:val="nil"/>
              </w:pBdr>
            </w:pPr>
            <w:r>
              <w:t>skrive eller indtale dialog, hvor personerne på opslaget inviterer pigen indenfor og viser hende rundt i lejligheden.</w:t>
            </w:r>
          </w:p>
          <w:p w:rsidR="00BB71DF" w:rsidRDefault="00B54432">
            <w:pPr>
              <w:numPr>
                <w:ilvl w:val="0"/>
                <w:numId w:val="3"/>
              </w:numPr>
              <w:pBdr>
                <w:top w:val="nil"/>
                <w:left w:val="nil"/>
                <w:bottom w:val="nil"/>
                <w:right w:val="nil"/>
                <w:between w:val="nil"/>
              </w:pBdr>
              <w:spacing w:after="200"/>
            </w:pPr>
            <w:r>
              <w:t>skrive eller indtale en dialog mellem personen på billedet og den lille pige</w:t>
            </w:r>
          </w:p>
          <w:p w:rsidR="00BB71DF" w:rsidRDefault="00BB71DF">
            <w:pPr>
              <w:pBdr>
                <w:top w:val="nil"/>
                <w:left w:val="nil"/>
                <w:bottom w:val="nil"/>
                <w:right w:val="nil"/>
                <w:between w:val="nil"/>
              </w:pBdr>
              <w:spacing w:after="200"/>
            </w:pPr>
          </w:p>
          <w:p w:rsidR="00E23A45" w:rsidRDefault="00E23A45">
            <w:pPr>
              <w:pBdr>
                <w:top w:val="nil"/>
                <w:left w:val="nil"/>
                <w:bottom w:val="nil"/>
                <w:right w:val="nil"/>
                <w:between w:val="nil"/>
              </w:pBdr>
              <w:rPr>
                <w:b/>
              </w:rPr>
            </w:pPr>
          </w:p>
          <w:p w:rsidR="00BB71DF" w:rsidRDefault="00B54432">
            <w:pPr>
              <w:pBdr>
                <w:top w:val="nil"/>
                <w:left w:val="nil"/>
                <w:bottom w:val="nil"/>
                <w:right w:val="nil"/>
                <w:between w:val="nil"/>
              </w:pBdr>
              <w:rPr>
                <w:b/>
              </w:rPr>
            </w:pPr>
            <w:r>
              <w:rPr>
                <w:b/>
              </w:rPr>
              <w:lastRenderedPageBreak/>
              <w:t>Lav alternative billeder</w:t>
            </w:r>
          </w:p>
          <w:p w:rsidR="00BB71DF" w:rsidRDefault="0071293D">
            <w:pPr>
              <w:pBdr>
                <w:top w:val="nil"/>
                <w:left w:val="nil"/>
                <w:bottom w:val="nil"/>
                <w:right w:val="nil"/>
                <w:between w:val="nil"/>
              </w:pBdr>
              <w:spacing w:after="200"/>
            </w:pPr>
            <w:r>
              <w:t>Det er med glæde,</w:t>
            </w:r>
            <w:r w:rsidR="00B54432">
              <w:t xml:space="preserve"> at man lader sig lokke af den lille piges univers, men spørg eleverne om, hvad de selv ville have tegnet eller forestillet sig, hvis det var dem</w:t>
            </w:r>
            <w:r>
              <w:t>,</w:t>
            </w:r>
            <w:r w:rsidR="00B54432">
              <w:t xml:space="preserve"> der skulle fantasere over, hvad der gemme sig bag dørene. Lad dem selv tegne og derefter fortælle om deres tegning.</w:t>
            </w:r>
          </w:p>
          <w:p w:rsidR="00BB71DF" w:rsidRDefault="00B54432">
            <w:pPr>
              <w:pBdr>
                <w:top w:val="nil"/>
                <w:left w:val="nil"/>
                <w:bottom w:val="nil"/>
                <w:right w:val="nil"/>
                <w:between w:val="nil"/>
              </w:pBdr>
              <w:rPr>
                <w:b/>
              </w:rPr>
            </w:pPr>
            <w:r>
              <w:rPr>
                <w:b/>
              </w:rPr>
              <w:t>Tal om slutningen</w:t>
            </w:r>
          </w:p>
          <w:p w:rsidR="00BB71DF" w:rsidRDefault="00B54432">
            <w:pPr>
              <w:pBdr>
                <w:top w:val="nil"/>
                <w:left w:val="nil"/>
                <w:bottom w:val="nil"/>
                <w:right w:val="nil"/>
                <w:between w:val="nil"/>
              </w:pBdr>
              <w:spacing w:after="200"/>
            </w:pPr>
            <w:r>
              <w:t>Slutningen lægger op til, at man kan italesætte begrebet normalitet i familien. Det er således interessant at tale om, hvordan bogen ender.  Samtal om, hvordan den lille pige ser på sine forældre, og hvordan de i virkeligheden er. Tror vi ikke alle, at det vi lever i, er det normale. Hvor mange synes ikke</w:t>
            </w:r>
            <w:r w:rsidR="0071293D">
              <w:t>,</w:t>
            </w:r>
            <w:r>
              <w:t xml:space="preserve"> at deres forældre kedelige? Kan man selv se det sjove og fantasifulde ved ens liv?</w:t>
            </w:r>
          </w:p>
          <w:p w:rsidR="00BB71DF" w:rsidRDefault="00B54432">
            <w:pPr>
              <w:pBdr>
                <w:top w:val="nil"/>
                <w:left w:val="nil"/>
                <w:bottom w:val="nil"/>
                <w:right w:val="nil"/>
                <w:between w:val="nil"/>
              </w:pBdr>
              <w:rPr>
                <w:b/>
              </w:rPr>
            </w:pPr>
            <w:r>
              <w:rPr>
                <w:b/>
              </w:rPr>
              <w:t>Storyline: La fête des voisins</w:t>
            </w:r>
          </w:p>
          <w:p w:rsidR="00BB71DF" w:rsidRDefault="00B54432">
            <w:pPr>
              <w:spacing w:after="200"/>
            </w:pPr>
            <w:r>
              <w:t>Bogen kan som sagt bruges til at fabulere og digte og egner sig perfekt til at sætte en storyline i gang. Storyline kunne hedder “La fête des voisins”</w:t>
            </w:r>
          </w:p>
          <w:p w:rsidR="00BB71DF" w:rsidRDefault="00B54432">
            <w:pPr>
              <w:pBdr>
                <w:top w:val="nil"/>
                <w:left w:val="nil"/>
                <w:bottom w:val="nil"/>
                <w:right w:val="nil"/>
                <w:between w:val="nil"/>
              </w:pBdr>
              <w:spacing w:after="200"/>
            </w:pPr>
            <w:r>
              <w:t>Konceptet “La fête des voisins” findes i virkeligheden i Frankrig og andre lande og har nu eksisteret i over 20 år. Se mere om konceptet her https://www.lafetedesvoisins.fr/</w:t>
            </w:r>
          </w:p>
          <w:p w:rsidR="00BB71DF" w:rsidRDefault="00B54432">
            <w:pPr>
              <w:pBdr>
                <w:top w:val="nil"/>
                <w:left w:val="nil"/>
                <w:bottom w:val="nil"/>
                <w:right w:val="nil"/>
                <w:between w:val="nil"/>
              </w:pBdr>
              <w:spacing w:after="200"/>
            </w:pPr>
            <w:r>
              <w:t xml:space="preserve">Storylinemetoden åbner muligheder for samtale, dialoger, rollespil og procesorienteret skrivning. Metoden bygger på elevernes input, viden og erfaringer og stimulerer dem til at udvide deres viden. I forløbet tager eleverne aktiv del i deres læring, deres forslag og kreativitet er centrale i produktionen. Gennem en kreativ proces skaber de en fælles fortælling, som kan tage form ved hjælp af æstetiske produkter, som fx collage, multimedieproduktioner, tekster, beskeder, dialoger eller små teaterstykker. </w:t>
            </w:r>
          </w:p>
          <w:p w:rsidR="00BB71DF" w:rsidRDefault="00B54432">
            <w:pPr>
              <w:pBdr>
                <w:top w:val="nil"/>
                <w:left w:val="nil"/>
                <w:bottom w:val="nil"/>
                <w:right w:val="nil"/>
                <w:between w:val="nil"/>
              </w:pBdr>
            </w:pPr>
            <w:r>
              <w:t>Der er mange måde at konstruere en storyline på, og det er derfor en god ide at gøre sig overvejelser om:</w:t>
            </w:r>
          </w:p>
          <w:p w:rsidR="00BB71DF" w:rsidRDefault="00B54432">
            <w:pPr>
              <w:numPr>
                <w:ilvl w:val="0"/>
                <w:numId w:val="2"/>
              </w:numPr>
              <w:pBdr>
                <w:top w:val="nil"/>
                <w:left w:val="nil"/>
                <w:bottom w:val="nil"/>
                <w:right w:val="nil"/>
                <w:between w:val="nil"/>
              </w:pBdr>
            </w:pPr>
            <w:r>
              <w:t>form og indhold i forløbet</w:t>
            </w:r>
          </w:p>
          <w:p w:rsidR="00BB71DF" w:rsidRDefault="00B54432">
            <w:pPr>
              <w:numPr>
                <w:ilvl w:val="0"/>
                <w:numId w:val="2"/>
              </w:numPr>
              <w:pBdr>
                <w:top w:val="nil"/>
                <w:left w:val="nil"/>
                <w:bottom w:val="nil"/>
                <w:right w:val="nil"/>
                <w:between w:val="nil"/>
              </w:pBdr>
            </w:pPr>
            <w:r>
              <w:t>omfang og kompleksitet at forløbet</w:t>
            </w:r>
          </w:p>
          <w:p w:rsidR="00BB71DF" w:rsidRDefault="00B54432">
            <w:pPr>
              <w:numPr>
                <w:ilvl w:val="0"/>
                <w:numId w:val="2"/>
              </w:numPr>
              <w:pBdr>
                <w:top w:val="nil"/>
                <w:left w:val="nil"/>
                <w:bottom w:val="nil"/>
                <w:right w:val="nil"/>
                <w:between w:val="nil"/>
              </w:pBdr>
              <w:spacing w:after="200"/>
            </w:pPr>
            <w:r>
              <w:t xml:space="preserve">de sproglige mål i forløbet </w:t>
            </w:r>
          </w:p>
          <w:p w:rsidR="00BB71DF" w:rsidRDefault="00B54432">
            <w:pPr>
              <w:pBdr>
                <w:top w:val="nil"/>
                <w:left w:val="nil"/>
                <w:bottom w:val="nil"/>
                <w:right w:val="nil"/>
                <w:between w:val="nil"/>
              </w:pBdr>
              <w:spacing w:after="200"/>
            </w:pPr>
            <w:r>
              <w:t>Hermed kommer forskellige forslag på fransk til</w:t>
            </w:r>
            <w:r w:rsidR="0071293D">
              <w:t>,</w:t>
            </w:r>
            <w:r>
              <w:t xml:space="preserve"> hvad storyline kan indeholde. For hver fase er det en god ide at brainstorme med eleverne om form og indhold, så de er med til at definere de kommunikative mål, det sproglige indhold og niveau samt formidlingsform.</w:t>
            </w:r>
          </w:p>
          <w:p w:rsidR="00BB71DF" w:rsidRPr="00DC504D" w:rsidRDefault="00B54432">
            <w:pPr>
              <w:pBdr>
                <w:top w:val="nil"/>
                <w:left w:val="nil"/>
                <w:bottom w:val="nil"/>
                <w:right w:val="nil"/>
                <w:between w:val="nil"/>
              </w:pBdr>
              <w:rPr>
                <w:b/>
                <w:lang w:val="en-US"/>
              </w:rPr>
            </w:pPr>
            <w:r w:rsidRPr="00DC504D">
              <w:rPr>
                <w:b/>
                <w:lang w:val="en-US"/>
              </w:rPr>
              <w:t>Propositions</w:t>
            </w:r>
          </w:p>
          <w:p w:rsidR="00BB71DF" w:rsidRPr="00DC504D" w:rsidRDefault="00B54432">
            <w:pPr>
              <w:pBdr>
                <w:top w:val="nil"/>
                <w:left w:val="nil"/>
                <w:bottom w:val="nil"/>
                <w:right w:val="nil"/>
                <w:between w:val="nil"/>
              </w:pBdr>
              <w:spacing w:after="200"/>
              <w:rPr>
                <w:lang w:val="en-US"/>
              </w:rPr>
            </w:pPr>
            <w:r w:rsidRPr="00DC504D">
              <w:rPr>
                <w:lang w:val="en-US"/>
              </w:rPr>
              <w:t>Répartir les élèves en groupe. Chaque groupes choisis un étage éventuellement par tirage au sort.</w:t>
            </w:r>
          </w:p>
          <w:p w:rsidR="00BB71DF" w:rsidRPr="00DC504D" w:rsidRDefault="00B54432">
            <w:pPr>
              <w:pBdr>
                <w:top w:val="nil"/>
                <w:left w:val="nil"/>
                <w:bottom w:val="nil"/>
                <w:right w:val="nil"/>
                <w:between w:val="nil"/>
              </w:pBdr>
              <w:spacing w:after="200"/>
              <w:rPr>
                <w:u w:val="single"/>
                <w:lang w:val="en-US"/>
              </w:rPr>
            </w:pPr>
            <w:r w:rsidRPr="00DC504D">
              <w:rPr>
                <w:u w:val="single"/>
                <w:lang w:val="en-US"/>
              </w:rPr>
              <w:t xml:space="preserve">1 Mise en place </w:t>
            </w:r>
          </w:p>
          <w:p w:rsidR="00BB71DF" w:rsidRPr="00DC504D" w:rsidRDefault="00B54432">
            <w:pPr>
              <w:pBdr>
                <w:top w:val="nil"/>
                <w:left w:val="nil"/>
                <w:bottom w:val="nil"/>
                <w:right w:val="nil"/>
                <w:between w:val="nil"/>
              </w:pBdr>
              <w:spacing w:after="200"/>
              <w:rPr>
                <w:lang w:val="en-US"/>
              </w:rPr>
            </w:pPr>
            <w:r w:rsidRPr="00DC504D">
              <w:rPr>
                <w:lang w:val="en-US"/>
              </w:rPr>
              <w:t>Objectifs : créer une famille, donner une identité aux habitants de l’appartement, trouver des noms francophones, inventer une situation familiale et sociale, faire une description physique, parler de ses goûts et de ses loisirs,</w:t>
            </w:r>
          </w:p>
          <w:p w:rsidR="00BB71DF" w:rsidRPr="00DC504D" w:rsidRDefault="00B54432">
            <w:pPr>
              <w:pBdr>
                <w:top w:val="nil"/>
                <w:left w:val="nil"/>
                <w:bottom w:val="nil"/>
                <w:right w:val="nil"/>
                <w:between w:val="nil"/>
              </w:pBdr>
              <w:spacing w:after="200"/>
              <w:rPr>
                <w:lang w:val="en-US"/>
              </w:rPr>
            </w:pPr>
            <w:r w:rsidRPr="00DC504D">
              <w:rPr>
                <w:lang w:val="en-US"/>
              </w:rPr>
              <w:t>Produit créatifs : faire une carte d’identité, faire un portrait, se présenter, créer un arbre généalogique, faire des masques (à utiliser plus tard pour les jeux de rôle)</w:t>
            </w:r>
          </w:p>
          <w:p w:rsidR="00BB71DF" w:rsidRPr="00DC504D" w:rsidRDefault="00B54432">
            <w:pPr>
              <w:pBdr>
                <w:top w:val="nil"/>
                <w:left w:val="nil"/>
                <w:bottom w:val="nil"/>
                <w:right w:val="nil"/>
                <w:between w:val="nil"/>
              </w:pBdr>
              <w:spacing w:after="200"/>
              <w:rPr>
                <w:u w:val="single"/>
                <w:lang w:val="en-US"/>
              </w:rPr>
            </w:pPr>
            <w:r w:rsidRPr="00DC504D">
              <w:rPr>
                <w:u w:val="single"/>
                <w:lang w:val="en-US"/>
              </w:rPr>
              <w:lastRenderedPageBreak/>
              <w:t xml:space="preserve">2. Les appartements </w:t>
            </w:r>
          </w:p>
          <w:p w:rsidR="00BB71DF" w:rsidRDefault="00B54432">
            <w:pPr>
              <w:pBdr>
                <w:top w:val="nil"/>
                <w:left w:val="nil"/>
                <w:bottom w:val="nil"/>
                <w:right w:val="nil"/>
                <w:between w:val="nil"/>
              </w:pBdr>
              <w:spacing w:after="200"/>
            </w:pPr>
            <w:r w:rsidRPr="00DC504D">
              <w:rPr>
                <w:lang w:val="en-US"/>
              </w:rPr>
              <w:t xml:space="preserve">Objectifs : inviter un voisin et lui faire une présentation des lieux, les couleurs, la taille, les objets, les meubles, les fonctions. </w:t>
            </w:r>
            <w:r>
              <w:t>Raconter des histoires de vies fabuleuses</w:t>
            </w:r>
          </w:p>
          <w:p w:rsidR="00BB71DF" w:rsidRDefault="00B54432">
            <w:pPr>
              <w:pBdr>
                <w:top w:val="nil"/>
                <w:left w:val="nil"/>
                <w:bottom w:val="nil"/>
                <w:right w:val="nil"/>
                <w:between w:val="nil"/>
              </w:pBdr>
              <w:spacing w:after="200"/>
            </w:pPr>
            <w:r>
              <w:t>Produits créatifs : une présentation orale enregistrée, une petite pièce de théâtre, un jeu de rôle.</w:t>
            </w:r>
          </w:p>
          <w:p w:rsidR="00BB71DF" w:rsidRDefault="00B54432">
            <w:pPr>
              <w:pBdr>
                <w:top w:val="nil"/>
                <w:left w:val="nil"/>
                <w:bottom w:val="nil"/>
                <w:right w:val="nil"/>
                <w:between w:val="nil"/>
              </w:pBdr>
              <w:spacing w:after="200"/>
              <w:rPr>
                <w:u w:val="single"/>
              </w:rPr>
            </w:pPr>
            <w:r>
              <w:rPr>
                <w:u w:val="single"/>
              </w:rPr>
              <w:t>3. Organiser la fête des voisins</w:t>
            </w:r>
          </w:p>
          <w:p w:rsidR="00BB71DF" w:rsidRDefault="00B54432">
            <w:pPr>
              <w:pBdr>
                <w:top w:val="nil"/>
                <w:left w:val="nil"/>
                <w:bottom w:val="nil"/>
                <w:right w:val="nil"/>
                <w:between w:val="nil"/>
              </w:pBdr>
              <w:spacing w:after="200"/>
            </w:pPr>
            <w:r>
              <w:t>Objectifs : C’est le mois de mai et il faut organiser la fête des voisins. Les voisins se rencontrent dans l’escalier, échangent des idées et se répartissent le travail.</w:t>
            </w:r>
          </w:p>
          <w:p w:rsidR="00BB71DF" w:rsidRDefault="00B54432">
            <w:pPr>
              <w:pBdr>
                <w:top w:val="nil"/>
                <w:left w:val="nil"/>
                <w:bottom w:val="nil"/>
                <w:right w:val="nil"/>
                <w:between w:val="nil"/>
              </w:pBdr>
              <w:spacing w:after="200"/>
            </w:pPr>
            <w:r>
              <w:t>Produits créatifs : Faire l’affiche de la fête, lancer l’invitation, envoyer des messages à ses voisins, téléphoner,  proposer des recettes, faire la liste de ce qu’il faut préparer, acheter, amener.</w:t>
            </w:r>
          </w:p>
          <w:p w:rsidR="00BB71DF" w:rsidRDefault="00B54432">
            <w:pPr>
              <w:pBdr>
                <w:top w:val="nil"/>
                <w:left w:val="nil"/>
                <w:bottom w:val="nil"/>
                <w:right w:val="nil"/>
                <w:between w:val="nil"/>
              </w:pBdr>
              <w:spacing w:after="200"/>
            </w:pPr>
            <w:r>
              <w:t>Hele forløbet kan slutte af med at organisere en ”rigtig” lille fest, hvor alle spiller deres roller.</w:t>
            </w:r>
          </w:p>
          <w:p w:rsidR="00BB71DF" w:rsidRDefault="00B54432">
            <w:pPr>
              <w:pBdr>
                <w:top w:val="nil"/>
                <w:left w:val="nil"/>
                <w:bottom w:val="nil"/>
                <w:right w:val="nil"/>
                <w:between w:val="nil"/>
              </w:pBdr>
              <w:spacing w:after="200"/>
            </w:pPr>
            <w:r>
              <w:t>God fornøjelse med bogen og forløbet.</w:t>
            </w:r>
          </w:p>
          <w:p w:rsidR="00BB71DF" w:rsidRDefault="00B54432">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BB71DF" w:rsidRDefault="00BB71DF"/>
          <w:p w:rsidR="00BB71DF" w:rsidRDefault="00B54432">
            <w:r>
              <w:t>Kortfilm: “J’me sens poubelle” kan inddrages før eller efter forløbet.</w:t>
            </w:r>
          </w:p>
          <w:p w:rsidR="00BB71DF" w:rsidRDefault="00BB71DF"/>
        </w:tc>
      </w:tr>
    </w:tbl>
    <w:p w:rsidR="00BB71DF" w:rsidRDefault="00BB71DF">
      <w:pPr>
        <w:tabs>
          <w:tab w:val="left" w:pos="1304"/>
          <w:tab w:val="left" w:pos="8745"/>
        </w:tabs>
      </w:pPr>
    </w:p>
    <w:p w:rsidR="00BB71DF" w:rsidRDefault="00BB71DF"/>
    <w:sectPr w:rsidR="00BB71DF">
      <w:headerReference w:type="default" r:id="rId10"/>
      <w:footerReference w:type="default" r:id="rId11"/>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71" w:rsidRDefault="00523371">
      <w:pPr>
        <w:spacing w:after="0"/>
      </w:pPr>
      <w:r>
        <w:separator/>
      </w:r>
    </w:p>
  </w:endnote>
  <w:endnote w:type="continuationSeparator" w:id="0">
    <w:p w:rsidR="00523371" w:rsidRDefault="00523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DF" w:rsidRDefault="00523371">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BB71DF" w:rsidRDefault="00B54432">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7C3FEB" w:rsidRPr="007C3FEB">
      <w:rPr>
        <w:rFonts w:asciiTheme="majorHAnsi" w:hAnsiTheme="majorHAnsi" w:cstheme="majorHAnsi"/>
        <w:color w:val="333333"/>
        <w:sz w:val="18"/>
        <w:szCs w:val="18"/>
        <w:shd w:val="clear" w:color="auto" w:fill="FFFFFF"/>
      </w:rPr>
      <w:t>Danièle Eychenne</w:t>
    </w:r>
    <w:r>
      <w:rPr>
        <w:color w:val="000000"/>
        <w:sz w:val="18"/>
        <w:szCs w:val="18"/>
      </w:rPr>
      <w:t xml:space="preserve">, CFU </w:t>
    </w:r>
    <w:r w:rsidR="007C3FEB">
      <w:rPr>
        <w:color w:val="000000"/>
        <w:sz w:val="18"/>
        <w:szCs w:val="18"/>
      </w:rPr>
      <w:t>KP</w:t>
    </w:r>
    <w:r>
      <w:rPr>
        <w:color w:val="000000"/>
        <w:sz w:val="18"/>
        <w:szCs w:val="18"/>
      </w:rPr>
      <w:t xml:space="preserve">, </w:t>
    </w:r>
    <w:r w:rsidR="007C3FEB">
      <w:rPr>
        <w:color w:val="000000"/>
        <w:sz w:val="18"/>
        <w:szCs w:val="18"/>
      </w:rPr>
      <w:t>oktober 2019</w:t>
    </w:r>
  </w:p>
  <w:p w:rsidR="00BB71DF" w:rsidRDefault="007C3FEB">
    <w:pPr>
      <w:pBdr>
        <w:top w:val="nil"/>
        <w:left w:val="nil"/>
        <w:bottom w:val="nil"/>
        <w:right w:val="nil"/>
        <w:between w:val="nil"/>
      </w:pBdr>
      <w:tabs>
        <w:tab w:val="center" w:pos="4819"/>
        <w:tab w:val="right" w:pos="9638"/>
      </w:tabs>
      <w:spacing w:after="0"/>
    </w:pPr>
    <w:r>
      <w:rPr>
        <w:color w:val="000000"/>
        <w:sz w:val="18"/>
        <w:szCs w:val="18"/>
      </w:rPr>
      <w:t>Les Voisins</w:t>
    </w:r>
    <w:r w:rsidR="00B54432">
      <w:tab/>
    </w:r>
    <w:r w:rsidR="00B54432">
      <w:tab/>
    </w:r>
    <w:r w:rsidR="00B54432">
      <w:rPr>
        <w:noProof/>
      </w:rPr>
      <w:drawing>
        <wp:inline distT="114300" distB="114300" distL="114300" distR="114300">
          <wp:extent cx="533400" cy="104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BB71DF" w:rsidRDefault="00B54432">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3C47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71" w:rsidRDefault="00523371">
      <w:pPr>
        <w:spacing w:after="0"/>
      </w:pPr>
      <w:r>
        <w:separator/>
      </w:r>
    </w:p>
  </w:footnote>
  <w:footnote w:type="continuationSeparator" w:id="0">
    <w:p w:rsidR="00523371" w:rsidRDefault="00523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DF" w:rsidRDefault="00B54432">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8F6391" w:rsidRPr="008F6391">
      <w:rPr>
        <w:color w:val="0000FF"/>
        <w:u w:val="single"/>
      </w:rPr>
      <w:t>9 987 427 7</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BB71DF" w:rsidRDefault="00523371">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57ED3"/>
    <w:multiLevelType w:val="multilevel"/>
    <w:tmpl w:val="75D01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D55EF7"/>
    <w:multiLevelType w:val="multilevel"/>
    <w:tmpl w:val="EA066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08014D"/>
    <w:multiLevelType w:val="multilevel"/>
    <w:tmpl w:val="22A2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a-DK"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DF"/>
    <w:rsid w:val="00163E95"/>
    <w:rsid w:val="00267D3D"/>
    <w:rsid w:val="002F68BE"/>
    <w:rsid w:val="0035483E"/>
    <w:rsid w:val="003C4739"/>
    <w:rsid w:val="0048550E"/>
    <w:rsid w:val="004F2635"/>
    <w:rsid w:val="00523371"/>
    <w:rsid w:val="00551BF4"/>
    <w:rsid w:val="00672BBF"/>
    <w:rsid w:val="0071293D"/>
    <w:rsid w:val="007C3FEB"/>
    <w:rsid w:val="008F6391"/>
    <w:rsid w:val="00B214DD"/>
    <w:rsid w:val="00B51433"/>
    <w:rsid w:val="00B54432"/>
    <w:rsid w:val="00BB71DF"/>
    <w:rsid w:val="00DC504D"/>
    <w:rsid w:val="00DD57BE"/>
    <w:rsid w:val="00E23A45"/>
    <w:rsid w:val="00EB0513"/>
    <w:rsid w:val="00EB19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F3746-FBC4-4FF2-B02F-DAE16D6B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8F6391"/>
    <w:pPr>
      <w:tabs>
        <w:tab w:val="center" w:pos="4819"/>
        <w:tab w:val="right" w:pos="9638"/>
      </w:tabs>
      <w:spacing w:after="0"/>
    </w:pPr>
  </w:style>
  <w:style w:type="character" w:customStyle="1" w:styleId="SidehovedTegn">
    <w:name w:val="Sidehoved Tegn"/>
    <w:basedOn w:val="Standardskrifttypeiafsnit"/>
    <w:link w:val="Sidehoved"/>
    <w:uiPriority w:val="99"/>
    <w:rsid w:val="008F6391"/>
  </w:style>
  <w:style w:type="paragraph" w:styleId="Sidefod">
    <w:name w:val="footer"/>
    <w:basedOn w:val="Normal"/>
    <w:link w:val="SidefodTegn"/>
    <w:uiPriority w:val="99"/>
    <w:unhideWhenUsed/>
    <w:rsid w:val="008F6391"/>
    <w:pPr>
      <w:tabs>
        <w:tab w:val="center" w:pos="4819"/>
        <w:tab w:val="right" w:pos="9638"/>
      </w:tabs>
      <w:spacing w:after="0"/>
    </w:pPr>
  </w:style>
  <w:style w:type="character" w:customStyle="1" w:styleId="SidefodTegn">
    <w:name w:val="Sidefod Tegn"/>
    <w:basedOn w:val="Standardskrifttypeiafsnit"/>
    <w:link w:val="Sidefod"/>
    <w:uiPriority w:val="99"/>
    <w:rsid w:val="008F6391"/>
  </w:style>
  <w:style w:type="paragraph" w:styleId="Markeringsbobletekst">
    <w:name w:val="Balloon Text"/>
    <w:basedOn w:val="Normal"/>
    <w:link w:val="MarkeringsbobletekstTegn"/>
    <w:uiPriority w:val="99"/>
    <w:semiHidden/>
    <w:unhideWhenUsed/>
    <w:rsid w:val="007C3FEB"/>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oVUqjtK9x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Silke Sønderbæk</dc:creator>
  <cp:lastModifiedBy>Karin Abrahamsen (KAAB) | VIA</cp:lastModifiedBy>
  <cp:revision>2</cp:revision>
  <cp:lastPrinted>2019-10-22T09:06:00Z</cp:lastPrinted>
  <dcterms:created xsi:type="dcterms:W3CDTF">2019-10-22T11:12:00Z</dcterms:created>
  <dcterms:modified xsi:type="dcterms:W3CDTF">2019-10-22T11:12:00Z</dcterms:modified>
</cp:coreProperties>
</file>