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61438" w:rsidRDefault="00D26789">
      <w:pPr>
        <w:spacing w:after="0"/>
      </w:pPr>
      <w:r>
        <w:rPr>
          <w:noProof/>
        </w:rPr>
        <mc:AlternateContent>
          <mc:Choice Requires="wps">
            <w:drawing>
              <wp:anchor distT="0" distB="0" distL="114300" distR="114300" simplePos="0" relativeHeight="251658240" behindDoc="0" locked="0" layoutInCell="1" hidden="0" allowOverlap="1">
                <wp:simplePos x="0" y="0"/>
                <wp:positionH relativeFrom="margin">
                  <wp:posOffset>4991100</wp:posOffset>
                </wp:positionH>
                <wp:positionV relativeFrom="paragraph">
                  <wp:posOffset>123825</wp:posOffset>
                </wp:positionV>
                <wp:extent cx="812800" cy="711200"/>
                <wp:effectExtent l="0" t="0" r="0" b="0"/>
                <wp:wrapNone/>
                <wp:docPr id="6" name="Rektangel 6"/>
                <wp:cNvGraphicFramePr/>
                <a:graphic xmlns:a="http://schemas.openxmlformats.org/drawingml/2006/main">
                  <a:graphicData uri="http://schemas.microsoft.com/office/word/2010/wordprocessingShape">
                    <wps:wsp>
                      <wps:cNvSpPr/>
                      <wps:spPr>
                        <a:xfrm>
                          <a:off x="4940129" y="3426517"/>
                          <a:ext cx="811742" cy="706967"/>
                        </a:xfrm>
                        <a:prstGeom prst="rect">
                          <a:avLst/>
                        </a:prstGeom>
                        <a:solidFill>
                          <a:schemeClr val="lt1"/>
                        </a:solidFill>
                        <a:ln>
                          <a:noFill/>
                        </a:ln>
                      </wps:spPr>
                      <wps:txbx>
                        <w:txbxContent>
                          <w:p w:rsidR="00A61438" w:rsidRDefault="00D26789">
                            <w:pPr>
                              <w:spacing w:after="0"/>
                              <w:textDirection w:val="btLr"/>
                            </w:pPr>
                            <w:r>
                              <w:rPr>
                                <w:b/>
                              </w:rPr>
                              <w:t>QR-kode</w:t>
                            </w:r>
                          </w:p>
                          <w:p w:rsidR="00A61438" w:rsidRDefault="00D26789">
                            <w:pPr>
                              <w:textDirection w:val="btLr"/>
                            </w:pPr>
                            <w:r>
                              <w:rPr>
                                <w:sz w:val="20"/>
                              </w:rPr>
                              <w:t xml:space="preserve">Fører til posten i </w:t>
                            </w:r>
                            <w:proofErr w:type="spellStart"/>
                            <w:r>
                              <w:rPr>
                                <w:sz w:val="20"/>
                              </w:rPr>
                              <w:t>mitCFU</w:t>
                            </w:r>
                            <w:proofErr w:type="spellEnd"/>
                          </w:p>
                        </w:txbxContent>
                      </wps:txbx>
                      <wps:bodyPr wrap="square" lIns="91425" tIns="45700" rIns="91425" bIns="45700" anchor="t" anchorCtr="0"/>
                    </wps:wsp>
                  </a:graphicData>
                </a:graphic>
              </wp:anchor>
            </w:drawing>
          </mc:Choice>
          <mc:Fallback>
            <w:pict>
              <v:rect id="_x0000_s1026" style="position:absolute;margin-left:393pt;margin-top:9.75pt;width:64pt;height:56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" fillcolor="white [3201]" stroked="f">
                <v:textbox inset="2.53958mm,1.2694mm,2.53958mm,1.2694mm">
                  <w:txbxContent>
                    <w:p w:rsidR="00A61438" w:rsidRDefault="00D26789">
                      <w:pPr>
                        <w:spacing w:after="0"/>
                        <w:textDirection w:val="btLr"/>
                      </w:pPr>
                      <w:r>
                        <w:rPr>
                          <w:b/>
                        </w:rPr>
                        <w:t>QR-kode</w:t>
                      </w:r>
                    </w:p>
                    <w:p w:rsidR="00A61438" w:rsidRDefault="00D26789">
                      <w:pPr>
                        <w:textDirection w:val="btLr"/>
                      </w:pPr>
                      <w:r>
                        <w:rPr>
                          <w:sz w:val="20"/>
                        </w:rPr>
                        <w:t>Fører til posten i mitCFU</w:t>
                      </w:r>
                    </w:p>
                  </w:txbxContent>
                </v:textbox>
                <w10:wrap anchorx="margin"/>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margin">
                  <wp:posOffset>4933950</wp:posOffset>
                </wp:positionH>
                <wp:positionV relativeFrom="paragraph">
                  <wp:posOffset>66675</wp:posOffset>
                </wp:positionV>
                <wp:extent cx="927100" cy="800100"/>
                <wp:effectExtent l="0" t="0" r="0" b="0"/>
                <wp:wrapNone/>
                <wp:docPr id="5" name="Rektangel 5"/>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med" len="med"/>
                          <a:tailEnd type="none" w="med" len="med"/>
                        </a:ln>
                      </wps:spPr>
                      <wps:txbx>
                        <w:txbxContent>
                          <w:p w:rsidR="00A61438" w:rsidRDefault="00A61438">
                            <w:pPr>
                              <w:spacing w:after="0"/>
                              <w:textDirection w:val="btLr"/>
                            </w:pPr>
                          </w:p>
                        </w:txbxContent>
                      </wps:txbx>
                      <wps:bodyPr wrap="square" lIns="91425" tIns="91425" rIns="91425" bIns="91425" anchor="ctr" anchorCtr="0"/>
                    </wps:wsp>
                  </a:graphicData>
                </a:graphic>
              </wp:anchor>
            </w:drawing>
          </mc:Choice>
          <mc:Fallback>
            <w:pict>
              <v:rect id="_x0000_s1027" style="position:absolute;margin-left:388.5pt;margin-top:5.25pt;width:73pt;height:63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" filled="f" strokecolor="#395e89" strokeweight="1.25pt">
                <v:stroke dashstyle="dash" joinstyle="round"/>
                <v:textbox inset="2.53958mm,2.53958mm,2.53958mm,2.53958mm">
                  <w:txbxContent>
                    <w:p w:rsidR="00A61438" w:rsidRDefault="00A61438">
                      <w:pPr>
                        <w:spacing w:after="0"/>
                        <w:textDirection w:val="btLr"/>
                      </w:pPr>
                    </w:p>
                  </w:txbxContent>
                </v:textbox>
                <w10:wrap anchorx="margin"/>
              </v:rect>
            </w:pict>
          </mc:Fallback>
        </mc:AlternateContent>
      </w:r>
    </w:p>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5811"/>
        <w:gridCol w:w="2262"/>
      </w:tblGrid>
      <w:tr w:rsidR="00A61438">
        <w:trPr>
          <w:trHeight w:val="200"/>
        </w:trPr>
        <w:tc>
          <w:tcPr>
            <w:tcW w:w="1555" w:type="dxa"/>
          </w:tcPr>
          <w:p w:rsidR="00A61438" w:rsidRDefault="00D26789">
            <w:pPr>
              <w:pStyle w:val="Overskrift1"/>
              <w:spacing w:before="0" w:after="120"/>
              <w:outlineLvl w:val="0"/>
              <w:rPr>
                <w:rFonts w:ascii="Calibri" w:eastAsia="Calibri" w:hAnsi="Calibri" w:cs="Calibri"/>
              </w:rPr>
            </w:pPr>
            <w:r>
              <w:rPr>
                <w:rFonts w:ascii="Calibri" w:eastAsia="Calibri" w:hAnsi="Calibri" w:cs="Calibri"/>
                <w:color w:val="1D266B"/>
                <w:sz w:val="32"/>
                <w:szCs w:val="32"/>
              </w:rPr>
              <w:t xml:space="preserve">Titel </w:t>
            </w:r>
          </w:p>
        </w:tc>
        <w:tc>
          <w:tcPr>
            <w:tcW w:w="5811" w:type="dxa"/>
          </w:tcPr>
          <w:p w:rsidR="00A61438" w:rsidRDefault="00D26789">
            <w:pPr>
              <w:rPr>
                <w:b/>
                <w:sz w:val="32"/>
                <w:szCs w:val="32"/>
              </w:rPr>
            </w:pPr>
            <w:proofErr w:type="spellStart"/>
            <w:r>
              <w:rPr>
                <w:b/>
                <w:sz w:val="32"/>
                <w:szCs w:val="32"/>
              </w:rPr>
              <w:t>Schmecksplosion</w:t>
            </w:r>
            <w:proofErr w:type="spellEnd"/>
            <w:r>
              <w:rPr>
                <w:b/>
                <w:sz w:val="32"/>
                <w:szCs w:val="32"/>
              </w:rPr>
              <w:t xml:space="preserve"> -</w:t>
            </w:r>
          </w:p>
          <w:p w:rsidR="00A61438" w:rsidRDefault="00D26789">
            <w:pPr>
              <w:rPr>
                <w:b/>
                <w:sz w:val="28"/>
                <w:szCs w:val="28"/>
                <w:highlight w:val="white"/>
              </w:rPr>
            </w:pPr>
            <w:r>
              <w:rPr>
                <w:b/>
                <w:sz w:val="32"/>
                <w:szCs w:val="32"/>
              </w:rPr>
              <w:t xml:space="preserve">Caitlin </w:t>
            </w:r>
            <w:proofErr w:type="spellStart"/>
            <w:r>
              <w:rPr>
                <w:b/>
                <w:sz w:val="32"/>
                <w:szCs w:val="32"/>
                <w:highlight w:val="white"/>
              </w:rPr>
              <w:t>macht</w:t>
            </w:r>
            <w:proofErr w:type="spellEnd"/>
            <w:r>
              <w:rPr>
                <w:b/>
                <w:sz w:val="32"/>
                <w:szCs w:val="32"/>
                <w:highlight w:val="white"/>
              </w:rPr>
              <w:t xml:space="preserve"> </w:t>
            </w:r>
            <w:proofErr w:type="spellStart"/>
            <w:r>
              <w:rPr>
                <w:b/>
                <w:sz w:val="32"/>
                <w:szCs w:val="32"/>
                <w:highlight w:val="white"/>
              </w:rPr>
              <w:t>Schinkengipfel</w:t>
            </w:r>
            <w:r>
              <w:rPr>
                <w:b/>
                <w:sz w:val="28"/>
                <w:szCs w:val="28"/>
                <w:highlight w:val="white"/>
              </w:rPr>
              <w:t>i</w:t>
            </w:r>
            <w:proofErr w:type="spellEnd"/>
            <w:r w:rsidR="00046995" w:rsidRPr="00046995">
              <w:t xml:space="preserve"> </w:t>
            </w:r>
          </w:p>
          <w:p w:rsidR="00A61438" w:rsidRDefault="00A61438">
            <w:pPr>
              <w:rPr>
                <w:b/>
                <w:sz w:val="28"/>
                <w:szCs w:val="28"/>
                <w:highlight w:val="white"/>
              </w:rPr>
            </w:pPr>
          </w:p>
        </w:tc>
        <w:tc>
          <w:tcPr>
            <w:tcW w:w="2262" w:type="dxa"/>
            <w:vMerge w:val="restart"/>
          </w:tcPr>
          <w:p w:rsidR="00A61438" w:rsidRDefault="00046995">
            <w:r w:rsidRPr="00046995">
              <w:rPr>
                <w:b/>
                <w:sz w:val="28"/>
                <w:szCs w:val="28"/>
                <w:highlight w:val="white"/>
              </w:rPr>
              <w:drawing>
                <wp:anchor distT="0" distB="0" distL="114300" distR="114300" simplePos="0" relativeHeight="251660288" behindDoc="0" locked="0" layoutInCell="1" allowOverlap="1">
                  <wp:simplePos x="0" y="0"/>
                  <wp:positionH relativeFrom="column">
                    <wp:posOffset>101600</wp:posOffset>
                  </wp:positionH>
                  <wp:positionV relativeFrom="paragraph">
                    <wp:posOffset>-84455</wp:posOffset>
                  </wp:positionV>
                  <wp:extent cx="1152525" cy="780743"/>
                  <wp:effectExtent l="0" t="0" r="0" b="635"/>
                  <wp:wrapNone/>
                  <wp:docPr id="7" name="Billede 7" descr="QR K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Ko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2525" cy="7807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1438" w:rsidRDefault="00A61438"/>
          <w:p w:rsidR="00A61438" w:rsidRDefault="00A61438"/>
          <w:p w:rsidR="00A61438" w:rsidRDefault="00A61438"/>
          <w:p w:rsidR="00A61438" w:rsidRDefault="00A61438"/>
          <w:p w:rsidR="00A61438" w:rsidRDefault="00A61438"/>
        </w:tc>
      </w:tr>
      <w:tr w:rsidR="00A61438" w:rsidRPr="00046995">
        <w:trPr>
          <w:trHeight w:val="200"/>
        </w:trPr>
        <w:tc>
          <w:tcPr>
            <w:tcW w:w="1555" w:type="dxa"/>
          </w:tcPr>
          <w:p w:rsidR="00A61438" w:rsidRDefault="00D26789">
            <w:r>
              <w:t>Tema:</w:t>
            </w:r>
          </w:p>
        </w:tc>
        <w:tc>
          <w:tcPr>
            <w:tcW w:w="5811" w:type="dxa"/>
          </w:tcPr>
          <w:p w:rsidR="00A61438" w:rsidRPr="00D26789" w:rsidRDefault="00D26789">
            <w:pPr>
              <w:rPr>
                <w:lang w:val="de-DE"/>
              </w:rPr>
            </w:pPr>
            <w:r w:rsidRPr="00D26789">
              <w:rPr>
                <w:lang w:val="de-DE"/>
              </w:rPr>
              <w:t>Essen/Kochen, die Schweiz/Deutschland</w:t>
            </w:r>
          </w:p>
        </w:tc>
        <w:tc>
          <w:tcPr>
            <w:tcW w:w="2262" w:type="dxa"/>
            <w:vMerge/>
          </w:tcPr>
          <w:p w:rsidR="00A61438" w:rsidRPr="00D26789" w:rsidRDefault="00A61438">
            <w:pPr>
              <w:rPr>
                <w:lang w:val="de-DE"/>
              </w:rPr>
            </w:pPr>
          </w:p>
        </w:tc>
      </w:tr>
      <w:tr w:rsidR="00A61438">
        <w:trPr>
          <w:trHeight w:val="200"/>
        </w:trPr>
        <w:tc>
          <w:tcPr>
            <w:tcW w:w="1555" w:type="dxa"/>
          </w:tcPr>
          <w:p w:rsidR="00A61438" w:rsidRDefault="00D26789">
            <w:r>
              <w:t>Fag:</w:t>
            </w:r>
          </w:p>
        </w:tc>
        <w:tc>
          <w:tcPr>
            <w:tcW w:w="5811" w:type="dxa"/>
          </w:tcPr>
          <w:p w:rsidR="00A61438" w:rsidRDefault="00D26789">
            <w:r>
              <w:t>Tysk</w:t>
            </w:r>
          </w:p>
        </w:tc>
        <w:tc>
          <w:tcPr>
            <w:tcW w:w="2262" w:type="dxa"/>
            <w:vMerge/>
          </w:tcPr>
          <w:p w:rsidR="00A61438" w:rsidRDefault="00A61438"/>
        </w:tc>
        <w:bookmarkStart w:id="0" w:name="_GoBack"/>
        <w:bookmarkEnd w:id="0"/>
      </w:tr>
      <w:tr w:rsidR="00A61438">
        <w:trPr>
          <w:trHeight w:val="200"/>
        </w:trPr>
        <w:tc>
          <w:tcPr>
            <w:tcW w:w="1555" w:type="dxa"/>
          </w:tcPr>
          <w:p w:rsidR="00A61438" w:rsidRDefault="00D26789">
            <w:r>
              <w:t>Målgruppe:</w:t>
            </w:r>
          </w:p>
        </w:tc>
        <w:tc>
          <w:tcPr>
            <w:tcW w:w="5811" w:type="dxa"/>
          </w:tcPr>
          <w:p w:rsidR="00A61438" w:rsidRDefault="00D26789">
            <w:r>
              <w:t>6.-7. klasse</w:t>
            </w:r>
          </w:p>
        </w:tc>
        <w:tc>
          <w:tcPr>
            <w:tcW w:w="2262" w:type="dxa"/>
            <w:vMerge/>
          </w:tcPr>
          <w:p w:rsidR="00A61438" w:rsidRDefault="00A61438"/>
        </w:tc>
      </w:tr>
      <w:tr w:rsidR="00A61438">
        <w:tc>
          <w:tcPr>
            <w:tcW w:w="1555" w:type="dxa"/>
          </w:tcPr>
          <w:p w:rsidR="00A61438" w:rsidRDefault="00A61438"/>
        </w:tc>
        <w:tc>
          <w:tcPr>
            <w:tcW w:w="5811" w:type="dxa"/>
          </w:tcPr>
          <w:p w:rsidR="00A61438" w:rsidRDefault="00A61438"/>
        </w:tc>
        <w:tc>
          <w:tcPr>
            <w:tcW w:w="2262" w:type="dxa"/>
            <w:vMerge/>
          </w:tcPr>
          <w:p w:rsidR="00A61438" w:rsidRDefault="00A61438"/>
        </w:tc>
      </w:tr>
      <w:tr w:rsidR="00A61438" w:rsidRPr="00D26789">
        <w:trPr>
          <w:trHeight w:val="10040"/>
        </w:trPr>
        <w:tc>
          <w:tcPr>
            <w:tcW w:w="1555" w:type="dxa"/>
          </w:tcPr>
          <w:p w:rsidR="00A61438" w:rsidRDefault="00A61438">
            <w:pPr>
              <w:rPr>
                <w:sz w:val="16"/>
                <w:szCs w:val="16"/>
              </w:rPr>
            </w:pPr>
            <w:bookmarkStart w:id="1" w:name="_gjdgxs" w:colFirst="0" w:colLast="0"/>
            <w:bookmarkEnd w:id="1"/>
          </w:p>
        </w:tc>
        <w:tc>
          <w:tcPr>
            <w:tcW w:w="8073" w:type="dxa"/>
            <w:gridSpan w:val="2"/>
          </w:tcPr>
          <w:p w:rsidR="00A61438" w:rsidRDefault="00A61438"/>
          <w:p w:rsidR="00A61438" w:rsidRDefault="00D26789">
            <w:pPr>
              <w:rPr>
                <w:b/>
              </w:rPr>
            </w:pPr>
            <w:r>
              <w:rPr>
                <w:noProof/>
              </w:rPr>
              <w:drawing>
                <wp:inline distT="114300" distB="114300" distL="114300" distR="114300">
                  <wp:extent cx="4972050" cy="27178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972050" cy="2717800"/>
                          </a:xfrm>
                          <a:prstGeom prst="rect">
                            <a:avLst/>
                          </a:prstGeom>
                          <a:ln/>
                        </pic:spPr>
                      </pic:pic>
                    </a:graphicData>
                  </a:graphic>
                </wp:inline>
              </w:drawing>
            </w:r>
          </w:p>
          <w:p w:rsidR="00A61438" w:rsidRPr="00D26789" w:rsidRDefault="00D26789">
            <w:pPr>
              <w:rPr>
                <w:lang w:val="de-DE"/>
              </w:rPr>
            </w:pPr>
            <w:r w:rsidRPr="00D26789">
              <w:rPr>
                <w:lang w:val="de-DE"/>
              </w:rPr>
              <w:t xml:space="preserve">Alle </w:t>
            </w:r>
            <w:proofErr w:type="spellStart"/>
            <w:r w:rsidRPr="00D26789">
              <w:rPr>
                <w:lang w:val="de-DE"/>
              </w:rPr>
              <w:t>fotos</w:t>
            </w:r>
            <w:proofErr w:type="spellEnd"/>
            <w:r w:rsidRPr="00D26789">
              <w:rPr>
                <w:lang w:val="de-DE"/>
              </w:rPr>
              <w:t xml:space="preserve"> er </w:t>
            </w:r>
            <w:proofErr w:type="spellStart"/>
            <w:r w:rsidRPr="00D26789">
              <w:rPr>
                <w:lang w:val="de-DE"/>
              </w:rPr>
              <w:t>fra</w:t>
            </w:r>
            <w:proofErr w:type="spellEnd"/>
            <w:r w:rsidRPr="00D26789">
              <w:rPr>
                <w:lang w:val="de-DE"/>
              </w:rPr>
              <w:t xml:space="preserve"> ‘</w:t>
            </w:r>
            <w:proofErr w:type="spellStart"/>
            <w:r w:rsidRPr="00D26789">
              <w:rPr>
                <w:lang w:val="de-DE"/>
              </w:rPr>
              <w:t>Schmecksplosion</w:t>
            </w:r>
            <w:proofErr w:type="spellEnd"/>
            <w:r w:rsidRPr="00D26789">
              <w:rPr>
                <w:lang w:val="de-DE"/>
              </w:rPr>
              <w:t xml:space="preserve"> - Caitlin </w:t>
            </w:r>
            <w:r w:rsidRPr="00D26789">
              <w:rPr>
                <w:highlight w:val="white"/>
                <w:lang w:val="de-DE"/>
              </w:rPr>
              <w:t xml:space="preserve">macht </w:t>
            </w:r>
            <w:proofErr w:type="spellStart"/>
            <w:r w:rsidRPr="00D26789">
              <w:rPr>
                <w:highlight w:val="white"/>
                <w:lang w:val="de-DE"/>
              </w:rPr>
              <w:t>Schinkengipfeli</w:t>
            </w:r>
            <w:proofErr w:type="spellEnd"/>
            <w:r w:rsidRPr="00D26789">
              <w:rPr>
                <w:highlight w:val="white"/>
                <w:lang w:val="de-DE"/>
              </w:rPr>
              <w:t>’</w:t>
            </w:r>
          </w:p>
          <w:p w:rsidR="00A61438" w:rsidRPr="00D26789" w:rsidRDefault="00A61438">
            <w:pPr>
              <w:rPr>
                <w:lang w:val="de-DE"/>
              </w:rPr>
            </w:pPr>
          </w:p>
          <w:p w:rsidR="00A61438" w:rsidRDefault="00D26789">
            <w:r>
              <w:rPr>
                <w:b/>
              </w:rPr>
              <w:t>Tv-udsendelse:</w:t>
            </w:r>
            <w:r>
              <w:t xml:space="preserve"> ARD, 01.04.2017, 15 min. </w:t>
            </w:r>
          </w:p>
          <w:p w:rsidR="00A61438" w:rsidRDefault="00A61438"/>
          <w:p w:rsidR="00A61438" w:rsidRDefault="00D26789">
            <w:r>
              <w:rPr>
                <w:highlight w:val="white"/>
              </w:rPr>
              <w:t xml:space="preserve">Caitlin bor i München, men hendes familie stammer fra Schweiz, så hun har valgt at lave schweizisk </w:t>
            </w:r>
            <w:proofErr w:type="spellStart"/>
            <w:r>
              <w:rPr>
                <w:highlight w:val="white"/>
              </w:rPr>
              <w:t>Schinkengipfeli</w:t>
            </w:r>
            <w:proofErr w:type="spellEnd"/>
            <w:r>
              <w:rPr>
                <w:highlight w:val="white"/>
              </w:rPr>
              <w:t xml:space="preserve"> og </w:t>
            </w:r>
            <w:proofErr w:type="spellStart"/>
            <w:r>
              <w:rPr>
                <w:highlight w:val="white"/>
              </w:rPr>
              <w:t>Rüeblisalat</w:t>
            </w:r>
            <w:proofErr w:type="spellEnd"/>
            <w:r>
              <w:rPr>
                <w:highlight w:val="white"/>
              </w:rPr>
              <w:t>. Caitlins veninde Amina hjælper med at lave maden. De giver den fuld gas, når de laver mad - selvom de godt kan miste overblikket.</w:t>
            </w:r>
          </w:p>
          <w:p w:rsidR="00A61438" w:rsidRDefault="00D26789">
            <w:pPr>
              <w:rPr>
                <w:i/>
              </w:rPr>
            </w:pPr>
            <w:r>
              <w:t>Tv-udsendelsen kan fx anvendes i forbindelse med temaer som</w:t>
            </w:r>
            <w:r>
              <w:rPr>
                <w:i/>
              </w:rPr>
              <w:t xml:space="preserve"> Essen/</w:t>
            </w:r>
            <w:proofErr w:type="spellStart"/>
            <w:r>
              <w:rPr>
                <w:i/>
              </w:rPr>
              <w:t>Kochen</w:t>
            </w:r>
            <w:proofErr w:type="spellEnd"/>
            <w:r>
              <w:rPr>
                <w:i/>
              </w:rPr>
              <w:t>, die Schweiz/Deutschland und evt.</w:t>
            </w:r>
            <w:r>
              <w:t xml:space="preserve"> </w:t>
            </w:r>
            <w:proofErr w:type="spellStart"/>
            <w:r>
              <w:rPr>
                <w:i/>
              </w:rPr>
              <w:t>Freundschaft</w:t>
            </w:r>
            <w:proofErr w:type="spellEnd"/>
          </w:p>
          <w:p w:rsidR="00A61438" w:rsidRDefault="00D26789">
            <w:r>
              <w:t>Udsendelsen giver et indblik i kultur og samfund og mulighed for at sammenligne med egen kultur. Den pædagogiske vejledning indeholder således ideer til arbejdet med udsendelsens indhold ud fra områderne ‘Kulturforståelse’ og ‘Lytning’. Den kan naturligvis bruges til at fokusere på andre af fagets områder.</w:t>
            </w:r>
          </w:p>
          <w:p w:rsidR="00A61438" w:rsidRDefault="00A61438">
            <w:pPr>
              <w:rPr>
                <w:i/>
              </w:rPr>
            </w:pPr>
          </w:p>
          <w:p w:rsidR="00A61438" w:rsidRDefault="00D26789">
            <w:r>
              <w:t xml:space="preserve">Ideerne nedenfor har det afsæt, at eleverne har adgang til et </w:t>
            </w:r>
            <w:proofErr w:type="spellStart"/>
            <w:r>
              <w:t>device</w:t>
            </w:r>
            <w:proofErr w:type="spellEnd"/>
            <w:r>
              <w:t>, så de kan se/gense de enkelte afsnit. Er dette ikke tilfældet, må klassen - også efter første fælles afspilning af udsendelsen - fortsat arbejde i fællesskab. Dette vil dog ikke være optimalt, og det vil kræve at du indlægger ‘breaks’, hvor eleverne kan arbejde med en eller flere kammerater, og det bliver muligt for alle eleverne at være aktive sprogbrugere.</w:t>
            </w:r>
          </w:p>
          <w:p w:rsidR="00A61438" w:rsidRDefault="00A61438"/>
          <w:p w:rsidR="00A61438" w:rsidRDefault="00A61438"/>
          <w:p w:rsidR="00A61438" w:rsidRDefault="00A61438"/>
          <w:p w:rsidR="00A61438" w:rsidRDefault="00A61438"/>
          <w:p w:rsidR="00A61438" w:rsidRDefault="00D26789">
            <w:pPr>
              <w:rPr>
                <w:b/>
                <w:color w:val="1D266B"/>
                <w:sz w:val="32"/>
                <w:szCs w:val="32"/>
              </w:rPr>
            </w:pPr>
            <w:r>
              <w:rPr>
                <w:b/>
                <w:color w:val="1D266B"/>
                <w:sz w:val="32"/>
                <w:szCs w:val="32"/>
              </w:rPr>
              <w:t>Faglig relevans/kompetenceområder</w:t>
            </w:r>
          </w:p>
          <w:p w:rsidR="00A61438" w:rsidRDefault="00A61438"/>
          <w:p w:rsidR="00A61438" w:rsidRDefault="00D26789">
            <w:r>
              <w:t>Kultur og samfund (bindende)</w:t>
            </w:r>
          </w:p>
          <w:p w:rsidR="00A61438" w:rsidRDefault="00D26789">
            <w:proofErr w:type="gramStart"/>
            <w:r>
              <w:t>Kulturforståelse  (</w:t>
            </w:r>
            <w:proofErr w:type="gramEnd"/>
            <w:r>
              <w:t>bindende)</w:t>
            </w:r>
          </w:p>
          <w:p w:rsidR="00A61438" w:rsidRDefault="00D26789">
            <w:pPr>
              <w:pStyle w:val="Overskrift2"/>
              <w:keepNext w:val="0"/>
              <w:keepLines w:val="0"/>
              <w:spacing w:before="0" w:after="160" w:line="264" w:lineRule="auto"/>
              <w:outlineLvl w:val="1"/>
              <w:rPr>
                <w:sz w:val="22"/>
                <w:szCs w:val="22"/>
              </w:rPr>
            </w:pPr>
            <w:bookmarkStart w:id="2" w:name="_q14yrv6zcndv" w:colFirst="0" w:colLast="0"/>
            <w:bookmarkEnd w:id="2"/>
            <w:r>
              <w:rPr>
                <w:sz w:val="22"/>
                <w:szCs w:val="22"/>
              </w:rPr>
              <w:t>Fase 2 (5. - 7. klasse - vejledende fra 2018)</w:t>
            </w:r>
          </w:p>
          <w:p w:rsidR="00A61438" w:rsidRDefault="00D26789">
            <w:pPr>
              <w:numPr>
                <w:ilvl w:val="0"/>
                <w:numId w:val="2"/>
              </w:numPr>
              <w:spacing w:line="360" w:lineRule="auto"/>
              <w:contextualSpacing/>
              <w:rPr>
                <w:highlight w:val="white"/>
              </w:rPr>
            </w:pPr>
            <w:r>
              <w:rPr>
                <w:highlight w:val="white"/>
              </w:rPr>
              <w:t>Eleven kan sammenligne tysktalende kulturer med egen kultur</w:t>
            </w:r>
          </w:p>
          <w:p w:rsidR="00A61438" w:rsidRDefault="00D26789">
            <w:pPr>
              <w:numPr>
                <w:ilvl w:val="0"/>
                <w:numId w:val="2"/>
              </w:numPr>
              <w:spacing w:line="360" w:lineRule="auto"/>
              <w:contextualSpacing/>
              <w:rPr>
                <w:highlight w:val="white"/>
              </w:rPr>
            </w:pPr>
            <w:r>
              <w:rPr>
                <w:highlight w:val="white"/>
              </w:rPr>
              <w:t>Eleven har viden om levevilkår i tysktalende lande</w:t>
            </w:r>
          </w:p>
          <w:p w:rsidR="00A61438" w:rsidRDefault="00A61438"/>
          <w:p w:rsidR="00A61438" w:rsidRDefault="00D26789">
            <w:r>
              <w:t>Mundtlig kommunikation (bindende)</w:t>
            </w:r>
          </w:p>
          <w:p w:rsidR="00A61438" w:rsidRDefault="00D26789">
            <w:r>
              <w:t>Lytning (bindende)</w:t>
            </w:r>
          </w:p>
          <w:p w:rsidR="00A61438" w:rsidRDefault="00D26789">
            <w:pPr>
              <w:pStyle w:val="Overskrift2"/>
              <w:keepNext w:val="0"/>
              <w:keepLines w:val="0"/>
              <w:spacing w:before="0" w:after="160" w:line="264" w:lineRule="auto"/>
              <w:outlineLvl w:val="1"/>
              <w:rPr>
                <w:sz w:val="22"/>
                <w:szCs w:val="22"/>
              </w:rPr>
            </w:pPr>
            <w:bookmarkStart w:id="3" w:name="_hs311ajfmjsv" w:colFirst="0" w:colLast="0"/>
            <w:bookmarkEnd w:id="3"/>
            <w:r>
              <w:rPr>
                <w:sz w:val="22"/>
                <w:szCs w:val="22"/>
              </w:rPr>
              <w:t>Fase 2 (5.-7. klasse - vejledende fra 2018)</w:t>
            </w:r>
          </w:p>
          <w:p w:rsidR="00A61438" w:rsidRDefault="00D26789">
            <w:pPr>
              <w:numPr>
                <w:ilvl w:val="0"/>
                <w:numId w:val="5"/>
              </w:numPr>
              <w:contextualSpacing/>
              <w:rPr>
                <w:highlight w:val="white"/>
              </w:rPr>
            </w:pPr>
            <w:r>
              <w:rPr>
                <w:highlight w:val="white"/>
              </w:rPr>
              <w:t>Eleven kan forstå enkle budskaber om nære emner</w:t>
            </w:r>
          </w:p>
          <w:p w:rsidR="00A61438" w:rsidRDefault="00D26789">
            <w:pPr>
              <w:numPr>
                <w:ilvl w:val="0"/>
                <w:numId w:val="5"/>
              </w:numPr>
              <w:contextualSpacing/>
              <w:rPr>
                <w:highlight w:val="white"/>
              </w:rPr>
            </w:pPr>
            <w:r>
              <w:rPr>
                <w:highlight w:val="white"/>
              </w:rPr>
              <w:t>Eleven har viden om forhold mellem mimik, gestik og indhold i situationer</w:t>
            </w:r>
          </w:p>
          <w:p w:rsidR="00A61438" w:rsidRDefault="00A61438">
            <w:pPr>
              <w:rPr>
                <w:b/>
                <w:highlight w:val="white"/>
              </w:rPr>
            </w:pPr>
          </w:p>
          <w:p w:rsidR="00A61438" w:rsidRDefault="00D26789">
            <w:pPr>
              <w:rPr>
                <w:b/>
                <w:highlight w:val="white"/>
              </w:rPr>
            </w:pPr>
            <w:r>
              <w:rPr>
                <w:b/>
                <w:highlight w:val="white"/>
              </w:rPr>
              <w:t xml:space="preserve">Fase 3 </w:t>
            </w:r>
            <w:r>
              <w:rPr>
                <w:b/>
              </w:rPr>
              <w:t>(5.-7. klasse - vejledende fra 2018)</w:t>
            </w:r>
          </w:p>
          <w:p w:rsidR="00A61438" w:rsidRDefault="00D26789">
            <w:pPr>
              <w:numPr>
                <w:ilvl w:val="0"/>
                <w:numId w:val="6"/>
              </w:numPr>
              <w:contextualSpacing/>
              <w:rPr>
                <w:highlight w:val="white"/>
              </w:rPr>
            </w:pPr>
            <w:r>
              <w:rPr>
                <w:highlight w:val="white"/>
              </w:rPr>
              <w:t>Eleven kan forstå hovedindholdet af talt tysk om nære emner</w:t>
            </w:r>
          </w:p>
          <w:p w:rsidR="00A61438" w:rsidRDefault="00D26789">
            <w:pPr>
              <w:numPr>
                <w:ilvl w:val="0"/>
                <w:numId w:val="6"/>
              </w:numPr>
              <w:contextualSpacing/>
              <w:rPr>
                <w:highlight w:val="white"/>
              </w:rPr>
            </w:pPr>
            <w:r>
              <w:rPr>
                <w:highlight w:val="white"/>
              </w:rPr>
              <w:t>Eleven har viden om at lytte efter hovedindhold</w:t>
            </w:r>
          </w:p>
          <w:p w:rsidR="00A61438" w:rsidRDefault="00A61438">
            <w:pPr>
              <w:rPr>
                <w:color w:val="1D266B"/>
                <w:highlight w:val="white"/>
              </w:rPr>
            </w:pPr>
          </w:p>
          <w:p w:rsidR="00A61438" w:rsidRDefault="00D26789">
            <w:pPr>
              <w:rPr>
                <w:b/>
              </w:rPr>
            </w:pPr>
            <w:r>
              <w:rPr>
                <w:b/>
              </w:rPr>
              <w:t>Kapitelmærker</w:t>
            </w:r>
          </w:p>
          <w:p w:rsidR="00A61438" w:rsidRDefault="00D26789">
            <w:pPr>
              <w:rPr>
                <w:b/>
                <w:color w:val="1D266B"/>
                <w:sz w:val="32"/>
                <w:szCs w:val="32"/>
              </w:rPr>
            </w:pPr>
            <w:r>
              <w:t>Tv-udsendelsen indeholder kapitelmærker, og de er primært lavet ud fra udsendelsens fokus på temaerne ‘</w:t>
            </w:r>
            <w:proofErr w:type="spellStart"/>
            <w:r>
              <w:t>Kochen</w:t>
            </w:r>
            <w:proofErr w:type="spellEnd"/>
            <w:r>
              <w:t>/Essen’ og ‘die Schweiz/Deutschland</w:t>
            </w:r>
            <w:proofErr w:type="gramStart"/>
            <w:r>
              <w:t>’.</w:t>
            </w:r>
            <w:r>
              <w:br/>
              <w:t>Kapitelmærkerne</w:t>
            </w:r>
            <w:proofErr w:type="gramEnd"/>
            <w:r>
              <w:t xml:space="preserve"> bruges i relation til at lettere at muliggøre fokus på primært </w:t>
            </w:r>
            <w:proofErr w:type="spellStart"/>
            <w:r>
              <w:t>lytteforståelse</w:t>
            </w:r>
            <w:proofErr w:type="spellEnd"/>
            <w:r>
              <w:t>.</w:t>
            </w:r>
          </w:p>
          <w:p w:rsidR="00A61438" w:rsidRDefault="00D26789">
            <w:pPr>
              <w:spacing w:before="240"/>
              <w:rPr>
                <w:b/>
                <w:color w:val="1D266B"/>
                <w:sz w:val="32"/>
                <w:szCs w:val="32"/>
              </w:rPr>
            </w:pPr>
            <w:r>
              <w:rPr>
                <w:b/>
                <w:color w:val="1D266B"/>
                <w:sz w:val="32"/>
                <w:szCs w:val="32"/>
              </w:rPr>
              <w:t>Ideer til undervisningen</w:t>
            </w:r>
          </w:p>
          <w:p w:rsidR="00A61438" w:rsidRDefault="00A61438">
            <w:pPr>
              <w:rPr>
                <w:b/>
                <w:sz w:val="24"/>
                <w:szCs w:val="24"/>
              </w:rPr>
            </w:pPr>
          </w:p>
          <w:p w:rsidR="00A61438" w:rsidRDefault="00D26789">
            <w:pPr>
              <w:rPr>
                <w:b/>
                <w:sz w:val="24"/>
                <w:szCs w:val="24"/>
              </w:rPr>
            </w:pPr>
            <w:proofErr w:type="spellStart"/>
            <w:r>
              <w:rPr>
                <w:b/>
                <w:sz w:val="24"/>
                <w:szCs w:val="24"/>
              </w:rPr>
              <w:t>Lytteforståelse</w:t>
            </w:r>
            <w:proofErr w:type="spellEnd"/>
            <w:r>
              <w:rPr>
                <w:b/>
                <w:sz w:val="24"/>
                <w:szCs w:val="24"/>
              </w:rPr>
              <w:t xml:space="preserve"> </w:t>
            </w:r>
          </w:p>
          <w:p w:rsidR="00A61438" w:rsidRDefault="00A61438">
            <w:pPr>
              <w:rPr>
                <w:b/>
              </w:rPr>
            </w:pPr>
          </w:p>
          <w:p w:rsidR="00A61438" w:rsidRDefault="00D26789">
            <w:pPr>
              <w:rPr>
                <w:b/>
              </w:rPr>
            </w:pPr>
            <w:proofErr w:type="spellStart"/>
            <w:r>
              <w:rPr>
                <w:b/>
              </w:rPr>
              <w:t>Lytteformål</w:t>
            </w:r>
            <w:proofErr w:type="spellEnd"/>
            <w:r>
              <w:rPr>
                <w:b/>
              </w:rPr>
              <w:t xml:space="preserve"> og </w:t>
            </w:r>
            <w:proofErr w:type="spellStart"/>
            <w:r>
              <w:rPr>
                <w:b/>
              </w:rPr>
              <w:t>lyttestrategier</w:t>
            </w:r>
            <w:proofErr w:type="spellEnd"/>
          </w:p>
          <w:p w:rsidR="00A61438" w:rsidRDefault="00D26789">
            <w:r>
              <w:t xml:space="preserve">Mind eleverne om eller præsenter dem for, at de skal være opmærksomme på, hvorfor de skal lytte og dermed sætte relevante </w:t>
            </w:r>
            <w:proofErr w:type="spellStart"/>
            <w:r>
              <w:t>lyttestrategier</w:t>
            </w:r>
            <w:proofErr w:type="spellEnd"/>
            <w:r>
              <w:t xml:space="preserve"> i spil. </w:t>
            </w:r>
            <w:r>
              <w:br/>
              <w:t xml:space="preserve">Lytter de efter specifikke informationer eller efter en helhed? Lytter de efter en bestemt slags ord eller vendinger? </w:t>
            </w:r>
          </w:p>
          <w:p w:rsidR="00A61438" w:rsidRDefault="00A61438"/>
          <w:p w:rsidR="00A61438" w:rsidRDefault="00D26789">
            <w:r>
              <w:t xml:space="preserve">Mind dem fx om, at de kan </w:t>
            </w:r>
          </w:p>
          <w:p w:rsidR="00A61438" w:rsidRDefault="00D26789">
            <w:pPr>
              <w:numPr>
                <w:ilvl w:val="0"/>
                <w:numId w:val="1"/>
              </w:numPr>
              <w:contextualSpacing/>
            </w:pPr>
            <w:proofErr w:type="gramStart"/>
            <w:r>
              <w:t>notere</w:t>
            </w:r>
            <w:proofErr w:type="gramEnd"/>
            <w:r>
              <w:t xml:space="preserve"> stikord </w:t>
            </w:r>
          </w:p>
          <w:p w:rsidR="00A61438" w:rsidRDefault="00D26789">
            <w:pPr>
              <w:numPr>
                <w:ilvl w:val="0"/>
                <w:numId w:val="1"/>
              </w:numPr>
              <w:contextualSpacing/>
            </w:pPr>
            <w:proofErr w:type="gramStart"/>
            <w:r>
              <w:t>lægge</w:t>
            </w:r>
            <w:proofErr w:type="gramEnd"/>
            <w:r>
              <w:t xml:space="preserve"> mærke til nøgleord, der præsenteres i udsendelsen</w:t>
            </w:r>
          </w:p>
          <w:p w:rsidR="00A61438" w:rsidRDefault="00D26789">
            <w:pPr>
              <w:numPr>
                <w:ilvl w:val="0"/>
                <w:numId w:val="1"/>
              </w:numPr>
              <w:contextualSpacing/>
            </w:pPr>
            <w:proofErr w:type="gramStart"/>
            <w:r>
              <w:t>gætte</w:t>
            </w:r>
            <w:proofErr w:type="gramEnd"/>
            <w:r>
              <w:t xml:space="preserve"> betydningen af ord eller sætninger </w:t>
            </w:r>
          </w:p>
          <w:p w:rsidR="00A61438" w:rsidRDefault="00D26789">
            <w:pPr>
              <w:numPr>
                <w:ilvl w:val="0"/>
                <w:numId w:val="1"/>
              </w:numPr>
              <w:contextualSpacing/>
            </w:pPr>
            <w:proofErr w:type="gramStart"/>
            <w:r>
              <w:t>lægge</w:t>
            </w:r>
            <w:proofErr w:type="gramEnd"/>
            <w:r>
              <w:t xml:space="preserve"> mærke til, hvordan ‘billeder’/det visuelle input kan understøtte </w:t>
            </w:r>
            <w:proofErr w:type="spellStart"/>
            <w:r>
              <w:t>lytteforståelsen</w:t>
            </w:r>
            <w:proofErr w:type="spellEnd"/>
          </w:p>
          <w:p w:rsidR="00A61438" w:rsidRDefault="00D26789">
            <w:pPr>
              <w:numPr>
                <w:ilvl w:val="0"/>
                <w:numId w:val="1"/>
              </w:numPr>
              <w:contextualSpacing/>
            </w:pPr>
            <w:proofErr w:type="gramStart"/>
            <w:r>
              <w:t>fokusere</w:t>
            </w:r>
            <w:proofErr w:type="gramEnd"/>
            <w:r>
              <w:t xml:space="preserve"> på at lytte og følge med i udsendelsen 1. gang og først tage noter </w:t>
            </w:r>
            <w:proofErr w:type="spellStart"/>
            <w:r>
              <w:t>ifbm</w:t>
            </w:r>
            <w:proofErr w:type="spellEnd"/>
            <w:r>
              <w:t xml:space="preserve">., at de ser den for 2. gang, eller </w:t>
            </w:r>
            <w:r>
              <w:rPr>
                <w:i/>
              </w:rPr>
              <w:t>efter</w:t>
            </w:r>
            <w:r>
              <w:t xml:space="preserve"> 1./2. gang de ser udsendelsen</w:t>
            </w:r>
          </w:p>
          <w:p w:rsidR="00A61438" w:rsidRDefault="00A61438"/>
          <w:p w:rsidR="00A61438" w:rsidRDefault="00D26789">
            <w:pPr>
              <w:rPr>
                <w:b/>
              </w:rPr>
            </w:pPr>
            <w:r>
              <w:rPr>
                <w:b/>
              </w:rPr>
              <w:t xml:space="preserve">Lyt efter specifikke informationer </w:t>
            </w:r>
          </w:p>
          <w:p w:rsidR="00A61438" w:rsidRDefault="00D26789">
            <w:r>
              <w:lastRenderedPageBreak/>
              <w:t xml:space="preserve">Lyt til en makker og reagér. </w:t>
            </w:r>
            <w:r>
              <w:br/>
              <w:t xml:space="preserve">Eleverne sættes sammen i grupper, og de fordeler kapitlerne. De arbejder først med deres eget kapitel og formulerer opgaver af typen:  </w:t>
            </w:r>
            <w:proofErr w:type="spellStart"/>
            <w:r>
              <w:t>Was</w:t>
            </w:r>
            <w:proofErr w:type="spellEnd"/>
            <w:r>
              <w:t xml:space="preserve"> </w:t>
            </w:r>
            <w:proofErr w:type="spellStart"/>
            <w:r>
              <w:t>kochen</w:t>
            </w:r>
            <w:proofErr w:type="spellEnd"/>
            <w:r>
              <w:t xml:space="preserve"> Caitlin und Amina? </w:t>
            </w:r>
            <w:r w:rsidRPr="00D26789">
              <w:rPr>
                <w:lang w:val="de-DE"/>
              </w:rPr>
              <w:t xml:space="preserve">Was kaufen sie im Supermarkt? Was sagt Caitlins Mutter von der Tochter? Was hören wir über die Schweiz? Wie finden die Gäste das Essen? </w:t>
            </w:r>
            <w:r w:rsidRPr="00D26789">
              <w:rPr>
                <w:lang w:val="de-DE"/>
              </w:rPr>
              <w:br/>
            </w:r>
            <w:r>
              <w:t xml:space="preserve">De stiller deres spørgsmål til en makker, besvarer makkerens og skifter derefter makker. </w:t>
            </w:r>
          </w:p>
          <w:p w:rsidR="00A61438" w:rsidRDefault="00A61438"/>
          <w:p w:rsidR="00A61438" w:rsidRDefault="00D26789">
            <w:r>
              <w:t>Spørgeordene skal måske repeteres og gøres tilgængelige, inden eleverne arbejder med opgaven.</w:t>
            </w:r>
          </w:p>
          <w:p w:rsidR="00A61438" w:rsidRDefault="00A61438"/>
          <w:p w:rsidR="00A61438" w:rsidRDefault="00D26789">
            <w:r>
              <w:rPr>
                <w:b/>
              </w:rPr>
              <w:t xml:space="preserve">Lyt efter bestemte ord eller </w:t>
            </w:r>
            <w:proofErr w:type="spellStart"/>
            <w:r>
              <w:rPr>
                <w:b/>
              </w:rPr>
              <w:t>chunks</w:t>
            </w:r>
            <w:proofErr w:type="spellEnd"/>
            <w:r>
              <w:br/>
              <w:t xml:space="preserve">Eleverne skal lytte til et bestemt kapitel og notere fx </w:t>
            </w:r>
            <w:proofErr w:type="spellStart"/>
            <w:r>
              <w:t>bydningsbærende</w:t>
            </w:r>
            <w:proofErr w:type="spellEnd"/>
            <w:r>
              <w:t xml:space="preserve"> navneord eller verber, hvis fokus er på en bestemt ordklasse, eller ordforråd og </w:t>
            </w:r>
            <w:proofErr w:type="spellStart"/>
            <w:r>
              <w:t>chunks</w:t>
            </w:r>
            <w:proofErr w:type="spellEnd"/>
            <w:r>
              <w:t xml:space="preserve"> fra et bestemt afsnit, fx </w:t>
            </w:r>
            <w:proofErr w:type="spellStart"/>
            <w:r>
              <w:rPr>
                <w:i/>
              </w:rPr>
              <w:t>Einkaufen</w:t>
            </w:r>
            <w:proofErr w:type="spellEnd"/>
            <w:r>
              <w:t>. Saml op først i grupper, derefter i klassen.</w:t>
            </w:r>
          </w:p>
          <w:p w:rsidR="00A61438" w:rsidRDefault="00A61438"/>
          <w:p w:rsidR="00A61438" w:rsidRDefault="00D26789">
            <w:pPr>
              <w:rPr>
                <w:b/>
              </w:rPr>
            </w:pPr>
            <w:r>
              <w:rPr>
                <w:b/>
              </w:rPr>
              <w:t xml:space="preserve">Lyt efter helheder og sammenfat </w:t>
            </w:r>
          </w:p>
          <w:p w:rsidR="00A61438" w:rsidRDefault="00D26789">
            <w:r>
              <w:t xml:space="preserve">Eleverne arbejder individuelt og i par. De skal gøre brug af </w:t>
            </w:r>
            <w:proofErr w:type="spellStart"/>
            <w:r>
              <w:t>lyttestrategier</w:t>
            </w:r>
            <w:proofErr w:type="spellEnd"/>
            <w:r>
              <w:t xml:space="preserve"> i forhold til begyndende fokus på at forstå budskaber og udsendelsen som helhed. Eleverne lytter til et ‘kapitel’. De danner sig et overordnet indtryk at ‘kapitlets’ handling. Ud fra det lyttede laver de hver især en 2-3-linjers sammenfatning - enten mundtligt (optag sammenfatningen) eller evt. skriftligt. Derefter sammenligner eleverne deres egen og kammeratens forståelse af helheden ud fra den sammenfatning, de lavede. </w:t>
            </w:r>
          </w:p>
          <w:p w:rsidR="00A61438" w:rsidRDefault="00A61438"/>
          <w:p w:rsidR="00A61438" w:rsidRDefault="00D26789">
            <w:pPr>
              <w:rPr>
                <w:b/>
                <w:sz w:val="24"/>
                <w:szCs w:val="24"/>
              </w:rPr>
            </w:pPr>
            <w:r>
              <w:rPr>
                <w:b/>
                <w:sz w:val="24"/>
                <w:szCs w:val="24"/>
              </w:rPr>
              <w:t>Kultur og samfund</w:t>
            </w:r>
          </w:p>
          <w:p w:rsidR="00A61438" w:rsidRDefault="00A61438"/>
          <w:p w:rsidR="00A61438" w:rsidRDefault="00D26789">
            <w:pPr>
              <w:rPr>
                <w:b/>
              </w:rPr>
            </w:pPr>
            <w:r>
              <w:rPr>
                <w:b/>
              </w:rPr>
              <w:t>Forstå og sammenlign</w:t>
            </w:r>
          </w:p>
          <w:p w:rsidR="00A61438" w:rsidRDefault="00D26789">
            <w:r>
              <w:t xml:space="preserve">Retten pigerne laver hedder: </w:t>
            </w:r>
            <w:proofErr w:type="spellStart"/>
            <w:r>
              <w:t>Schinkengipfeli</w:t>
            </w:r>
            <w:proofErr w:type="spellEnd"/>
            <w:r>
              <w:t xml:space="preserve"> und </w:t>
            </w:r>
            <w:proofErr w:type="spellStart"/>
            <w:r>
              <w:t>Rüeblisalat</w:t>
            </w:r>
            <w:proofErr w:type="spellEnd"/>
            <w:r>
              <w:t xml:space="preserve">. Eleverne skal notere de ingredienser, den indeholder. </w:t>
            </w:r>
            <w:r>
              <w:br/>
              <w:t xml:space="preserve">Kender de andre retter med schweizisk oprindelse? Kender de retter fra andre tysktalende lande? Kender de danske retter, der ligner nogen af dem? </w:t>
            </w:r>
            <w:r>
              <w:br/>
            </w:r>
            <w:proofErr w:type="spellStart"/>
            <w:r>
              <w:t>Eleveren</w:t>
            </w:r>
            <w:proofErr w:type="spellEnd"/>
            <w:r>
              <w:t xml:space="preserve"> laver en oversigt og skriver på tysk, hvad retterne hedder og hvilke hovedingredienser, de består af. </w:t>
            </w:r>
            <w:r>
              <w:br/>
              <w:t>Opgaven kan meget vel løses med et digitalt værktøj, eleverne allerede kender, fx Thinglink eller Padlet, så billeder og ord kan kobles.</w:t>
            </w:r>
          </w:p>
          <w:p w:rsidR="00A61438" w:rsidRDefault="00A61438"/>
          <w:p w:rsidR="00A61438" w:rsidRDefault="00D26789">
            <w:pPr>
              <w:rPr>
                <w:b/>
              </w:rPr>
            </w:pPr>
            <w:r>
              <w:rPr>
                <w:b/>
              </w:rPr>
              <w:t>Levevilkår - Bio-</w:t>
            </w:r>
            <w:proofErr w:type="spellStart"/>
            <w:r>
              <w:rPr>
                <w:b/>
              </w:rPr>
              <w:t>Produkte</w:t>
            </w:r>
            <w:proofErr w:type="spellEnd"/>
          </w:p>
          <w:p w:rsidR="00A61438" w:rsidRDefault="00D26789">
            <w:pPr>
              <w:rPr>
                <w:b/>
              </w:rPr>
            </w:pPr>
            <w:r>
              <w:t xml:space="preserve">I klassen ser I de to kapitler, der viser noget med </w:t>
            </w:r>
            <w:r>
              <w:rPr>
                <w:i/>
              </w:rPr>
              <w:t>Bio-</w:t>
            </w:r>
            <w:proofErr w:type="spellStart"/>
            <w:r>
              <w:rPr>
                <w:i/>
              </w:rPr>
              <w:t>Produkte</w:t>
            </w:r>
            <w:proofErr w:type="spellEnd"/>
            <w:r>
              <w:t xml:space="preserve">. Fortæl på dansk om, hvad det er, det handler om, og hvor stor en rolle bio-produkter spiller i Tyskland (det er ret let at finde aktuelle statistikker om omfang, mærkning </w:t>
            </w:r>
            <w:proofErr w:type="spellStart"/>
            <w:r>
              <w:t>o.lign</w:t>
            </w:r>
            <w:proofErr w:type="spellEnd"/>
            <w:r>
              <w:t>. på nettet). Hvordan er det i DK?</w:t>
            </w:r>
          </w:p>
          <w:p w:rsidR="00A61438" w:rsidRDefault="00D26789">
            <w:pPr>
              <w:rPr>
                <w:b/>
              </w:rPr>
            </w:pPr>
            <w:r>
              <w:rPr>
                <w:b/>
                <w:noProof/>
              </w:rPr>
              <w:lastRenderedPageBreak/>
              <w:drawing>
                <wp:inline distT="114300" distB="114300" distL="114300" distR="114300">
                  <wp:extent cx="4972050" cy="27051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972050" cy="2705100"/>
                          </a:xfrm>
                          <a:prstGeom prst="rect">
                            <a:avLst/>
                          </a:prstGeom>
                          <a:ln/>
                        </pic:spPr>
                      </pic:pic>
                    </a:graphicData>
                  </a:graphic>
                </wp:inline>
              </w:drawing>
            </w:r>
          </w:p>
          <w:p w:rsidR="00A61438" w:rsidRDefault="00A61438"/>
          <w:p w:rsidR="00A61438" w:rsidRDefault="00D26789">
            <w:r>
              <w:t xml:space="preserve">Lad eleverne arbejde i grupper og kigge på de store </w:t>
            </w:r>
            <w:proofErr w:type="spellStart"/>
            <w:r>
              <w:t>supermarkedkæders</w:t>
            </w:r>
            <w:proofErr w:type="spellEnd"/>
            <w:r>
              <w:t xml:space="preserve"> lancering af Bio-</w:t>
            </w:r>
            <w:proofErr w:type="spellStart"/>
            <w:r>
              <w:t>Produkte</w:t>
            </w:r>
            <w:proofErr w:type="spellEnd"/>
            <w:r>
              <w:t xml:space="preserve">, fx </w:t>
            </w:r>
            <w:hyperlink r:id="rId10">
              <w:r>
                <w:rPr>
                  <w:color w:val="1155CC"/>
                  <w:u w:val="single"/>
                </w:rPr>
                <w:t>REWE</w:t>
              </w:r>
            </w:hyperlink>
            <w:r>
              <w:t xml:space="preserve"> </w:t>
            </w:r>
            <w:hyperlink r:id="rId11">
              <w:proofErr w:type="spellStart"/>
              <w:r>
                <w:rPr>
                  <w:color w:val="1155CC"/>
                  <w:u w:val="single"/>
                </w:rPr>
                <w:t>Kaufland</w:t>
              </w:r>
              <w:proofErr w:type="spellEnd"/>
            </w:hyperlink>
            <w:r>
              <w:t xml:space="preserve">  </w:t>
            </w:r>
            <w:hyperlink r:id="rId12">
              <w:r>
                <w:rPr>
                  <w:color w:val="1155CC"/>
                  <w:u w:val="single"/>
                </w:rPr>
                <w:t>Penny</w:t>
              </w:r>
            </w:hyperlink>
            <w:r>
              <w:t xml:space="preserve"> </w:t>
            </w:r>
            <w:hyperlink r:id="rId13">
              <w:proofErr w:type="spellStart"/>
              <w:r>
                <w:rPr>
                  <w:color w:val="1155CC"/>
                  <w:u w:val="single"/>
                </w:rPr>
                <w:t>Lidl</w:t>
              </w:r>
              <w:proofErr w:type="spellEnd"/>
            </w:hyperlink>
            <w:r>
              <w:t xml:space="preserve">  </w:t>
            </w:r>
            <w:hyperlink r:id="rId14">
              <w:r>
                <w:rPr>
                  <w:color w:val="1155CC"/>
                  <w:u w:val="single"/>
                </w:rPr>
                <w:t>ALDI SÜD</w:t>
              </w:r>
            </w:hyperlink>
            <w:r>
              <w:t xml:space="preserve"> </w:t>
            </w:r>
            <w:hyperlink r:id="rId15">
              <w:r>
                <w:rPr>
                  <w:color w:val="1155CC"/>
                  <w:u w:val="single"/>
                </w:rPr>
                <w:t xml:space="preserve">ALDI SÜD Sortiment </w:t>
              </w:r>
            </w:hyperlink>
            <w:r>
              <w:t xml:space="preserve"> (find evt. selv flere eksempler).</w:t>
            </w:r>
          </w:p>
          <w:p w:rsidR="00A61438" w:rsidRDefault="00D26789">
            <w:pPr>
              <w:rPr>
                <w:i/>
              </w:rPr>
            </w:pPr>
            <w:r>
              <w:t xml:space="preserve">Lad dem inddele/finde produkterne i forskellige kategorier. Er der produkter at vælge mellem i alle kategorier? </w:t>
            </w:r>
            <w:r>
              <w:br/>
              <w:t xml:space="preserve">Saml op i klassen, eller lad eleverne gå i grupper på tværs i nye grupper, hvor de kan formidle deres viden ud fra enkle sproglige strukturer, som de kender i forvejen: </w:t>
            </w:r>
            <w:proofErr w:type="spellStart"/>
            <w:r>
              <w:rPr>
                <w:i/>
              </w:rPr>
              <w:t>ALDi</w:t>
            </w:r>
            <w:proofErr w:type="spellEnd"/>
            <w:r>
              <w:rPr>
                <w:i/>
              </w:rPr>
              <w:t xml:space="preserve"> hat 135 Bio </w:t>
            </w:r>
            <w:proofErr w:type="spellStart"/>
            <w:r>
              <w:rPr>
                <w:i/>
              </w:rPr>
              <w:t>Produkte</w:t>
            </w:r>
            <w:proofErr w:type="spellEnd"/>
            <w:r>
              <w:rPr>
                <w:i/>
              </w:rPr>
              <w:t xml:space="preserve">, 36 sind </w:t>
            </w:r>
            <w:proofErr w:type="spellStart"/>
            <w:r>
              <w:rPr>
                <w:i/>
              </w:rPr>
              <w:t>Milchprodukte</w:t>
            </w:r>
            <w:proofErr w:type="spellEnd"/>
            <w:r>
              <w:rPr>
                <w:i/>
              </w:rPr>
              <w:t xml:space="preserve">, 10 sind </w:t>
            </w:r>
            <w:proofErr w:type="spellStart"/>
            <w:r>
              <w:rPr>
                <w:i/>
              </w:rPr>
              <w:t>Kaffeeprodukte</w:t>
            </w:r>
            <w:proofErr w:type="spellEnd"/>
            <w:r>
              <w:rPr>
                <w:i/>
              </w:rPr>
              <w:t xml:space="preserve"> </w:t>
            </w:r>
            <w:proofErr w:type="spellStart"/>
            <w:r>
              <w:rPr>
                <w:i/>
              </w:rPr>
              <w:t>usw</w:t>
            </w:r>
            <w:proofErr w:type="spellEnd"/>
            <w:r>
              <w:rPr>
                <w:i/>
              </w:rPr>
              <w:t>.</w:t>
            </w:r>
          </w:p>
          <w:p w:rsidR="00A61438" w:rsidRDefault="00A61438"/>
          <w:p w:rsidR="00A61438" w:rsidRDefault="00D26789">
            <w:r>
              <w:t>Måske har nogle elever tid til at se på tilsvarende danske forhold og dermed skaffe materiale til en sammenligning på klassen.</w:t>
            </w:r>
          </w:p>
          <w:p w:rsidR="00A61438" w:rsidRDefault="00D26789">
            <w:pPr>
              <w:pStyle w:val="Overskrift1"/>
              <w:spacing w:before="240"/>
              <w:outlineLvl w:val="0"/>
              <w:rPr>
                <w:rFonts w:ascii="Calibri" w:eastAsia="Calibri" w:hAnsi="Calibri" w:cs="Calibri"/>
                <w:color w:val="000066"/>
                <w:sz w:val="32"/>
                <w:szCs w:val="32"/>
              </w:rPr>
            </w:pPr>
            <w:r>
              <w:rPr>
                <w:rFonts w:ascii="Calibri" w:eastAsia="Calibri" w:hAnsi="Calibri" w:cs="Calibri"/>
                <w:color w:val="000066"/>
                <w:sz w:val="32"/>
                <w:szCs w:val="32"/>
              </w:rPr>
              <w:t>Supplerende materialer</w:t>
            </w:r>
          </w:p>
          <w:p w:rsidR="00A61438" w:rsidRDefault="00D26789">
            <w:r>
              <w:t>Relevant materiale fra CFU:</w:t>
            </w:r>
          </w:p>
          <w:p w:rsidR="00A61438" w:rsidRDefault="00D26789">
            <w:r>
              <w:t xml:space="preserve"> </w:t>
            </w:r>
          </w:p>
          <w:p w:rsidR="00A61438" w:rsidRDefault="00D26789">
            <w:pPr>
              <w:numPr>
                <w:ilvl w:val="0"/>
                <w:numId w:val="3"/>
              </w:numPr>
              <w:contextualSpacing/>
            </w:pPr>
            <w:r>
              <w:rPr>
                <w:highlight w:val="white"/>
              </w:rPr>
              <w:t>De øvrige udsendelser fra serien ‘</w:t>
            </w:r>
            <w:proofErr w:type="spellStart"/>
            <w:r>
              <w:rPr>
                <w:highlight w:val="white"/>
              </w:rPr>
              <w:t>Schmecksplosion</w:t>
            </w:r>
            <w:proofErr w:type="spellEnd"/>
            <w:r>
              <w:rPr>
                <w:highlight w:val="white"/>
              </w:rPr>
              <w:t>’</w:t>
            </w:r>
          </w:p>
          <w:p w:rsidR="00A61438" w:rsidRDefault="00D26789">
            <w:pPr>
              <w:numPr>
                <w:ilvl w:val="0"/>
                <w:numId w:val="3"/>
              </w:numPr>
              <w:contextualSpacing/>
              <w:rPr>
                <w:highlight w:val="white"/>
              </w:rPr>
            </w:pPr>
            <w:r>
              <w:rPr>
                <w:highlight w:val="white"/>
              </w:rPr>
              <w:t xml:space="preserve">Tv-udsendelsen ‘Buffet </w:t>
            </w:r>
            <w:proofErr w:type="spellStart"/>
            <w:r>
              <w:rPr>
                <w:highlight w:val="white"/>
              </w:rPr>
              <w:t>Surprise</w:t>
            </w:r>
            <w:proofErr w:type="spellEnd"/>
            <w:r>
              <w:rPr>
                <w:highlight w:val="white"/>
              </w:rPr>
              <w:t>’</w:t>
            </w:r>
          </w:p>
          <w:p w:rsidR="00A61438" w:rsidRDefault="00D26789">
            <w:pPr>
              <w:numPr>
                <w:ilvl w:val="0"/>
                <w:numId w:val="3"/>
              </w:numPr>
              <w:contextualSpacing/>
              <w:rPr>
                <w:highlight w:val="white"/>
              </w:rPr>
            </w:pPr>
            <w:r>
              <w:rPr>
                <w:highlight w:val="white"/>
              </w:rPr>
              <w:t>Tv-udsendelsen ‘Das ABC des Grillens’</w:t>
            </w:r>
          </w:p>
          <w:p w:rsidR="00A61438" w:rsidRDefault="00A61438"/>
          <w:p w:rsidR="00A61438" w:rsidRDefault="00D26789">
            <w:r>
              <w:t>Følgende er forslag til supplerende materialer, der evt. kan lånes på dit lokale CFU.</w:t>
            </w:r>
          </w:p>
          <w:p w:rsidR="00A61438" w:rsidRDefault="00A61438"/>
          <w:p w:rsidR="00A61438" w:rsidRDefault="00D26789">
            <w:pPr>
              <w:numPr>
                <w:ilvl w:val="0"/>
                <w:numId w:val="4"/>
              </w:numPr>
              <w:contextualSpacing/>
            </w:pPr>
            <w:proofErr w:type="spellStart"/>
            <w:r>
              <w:t>Let’s</w:t>
            </w:r>
            <w:proofErr w:type="spellEnd"/>
            <w:r>
              <w:t xml:space="preserve"> </w:t>
            </w:r>
            <w:proofErr w:type="spellStart"/>
            <w:r>
              <w:t>Eat</w:t>
            </w:r>
            <w:proofErr w:type="spellEnd"/>
            <w:r>
              <w:t xml:space="preserve"> </w:t>
            </w:r>
            <w:proofErr w:type="spellStart"/>
            <w:r>
              <w:t>Topic</w:t>
            </w:r>
            <w:proofErr w:type="spellEnd"/>
            <w:r>
              <w:t xml:space="preserve"> Box </w:t>
            </w:r>
            <w:r>
              <w:rPr>
                <w:b/>
              </w:rPr>
              <w:t>med tysk vejledning</w:t>
            </w:r>
            <w:r>
              <w:t xml:space="preserve"> </w:t>
            </w:r>
          </w:p>
          <w:p w:rsidR="00A61438" w:rsidRPr="00D26789" w:rsidRDefault="00D26789">
            <w:pPr>
              <w:numPr>
                <w:ilvl w:val="0"/>
                <w:numId w:val="4"/>
              </w:numPr>
              <w:contextualSpacing/>
              <w:rPr>
                <w:lang w:val="de-DE"/>
              </w:rPr>
            </w:pPr>
            <w:r w:rsidRPr="00D26789">
              <w:rPr>
                <w:lang w:val="de-DE"/>
              </w:rPr>
              <w:t>Der Sprung: Guten Appetit (7. klasse)</w:t>
            </w:r>
          </w:p>
          <w:p w:rsidR="00A61438" w:rsidRPr="00D26789" w:rsidRDefault="00A61438">
            <w:pPr>
              <w:rPr>
                <w:lang w:val="de-DE"/>
              </w:rPr>
            </w:pPr>
          </w:p>
          <w:p w:rsidR="00A61438" w:rsidRPr="00D26789" w:rsidRDefault="00A61438">
            <w:pPr>
              <w:rPr>
                <w:lang w:val="de-DE"/>
              </w:rPr>
            </w:pPr>
          </w:p>
        </w:tc>
      </w:tr>
    </w:tbl>
    <w:p w:rsidR="00A61438" w:rsidRPr="00D26789" w:rsidRDefault="00A61438">
      <w:pPr>
        <w:tabs>
          <w:tab w:val="left" w:pos="1304"/>
          <w:tab w:val="left" w:pos="8745"/>
        </w:tabs>
        <w:rPr>
          <w:lang w:val="de-DE"/>
        </w:rPr>
      </w:pPr>
    </w:p>
    <w:p w:rsidR="00A61438" w:rsidRPr="00D26789" w:rsidRDefault="00A61438">
      <w:pPr>
        <w:rPr>
          <w:lang w:val="de-DE"/>
        </w:rPr>
      </w:pPr>
    </w:p>
    <w:sectPr w:rsidR="00A61438" w:rsidRPr="00D26789">
      <w:headerReference w:type="default" r:id="rId16"/>
      <w:footerReference w:type="default" r:id="rId17"/>
      <w:pgSz w:w="11906" w:h="16838"/>
      <w:pgMar w:top="1605" w:right="1134" w:bottom="1135" w:left="1134" w:header="0"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716" w:rsidRDefault="00B52716">
      <w:pPr>
        <w:spacing w:after="0"/>
      </w:pPr>
      <w:r>
        <w:separator/>
      </w:r>
    </w:p>
  </w:endnote>
  <w:endnote w:type="continuationSeparator" w:id="0">
    <w:p w:rsidR="00B52716" w:rsidRDefault="00B527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438" w:rsidRDefault="00B52716">
    <w:pPr>
      <w:tabs>
        <w:tab w:val="center" w:pos="4819"/>
        <w:tab w:val="right" w:pos="9638"/>
      </w:tabs>
      <w:spacing w:after="0"/>
    </w:pPr>
    <w:r>
      <w:pict>
        <v:rect id="_x0000_i1026" style="width:0;height:1.5pt" o:hralign="center" o:hrstd="t" o:hr="t" fillcolor="#a0a0a0" stroked="f"/>
      </w:pict>
    </w:r>
  </w:p>
  <w:p w:rsidR="00A61438" w:rsidRDefault="00D26789">
    <w:pPr>
      <w:tabs>
        <w:tab w:val="center" w:pos="4819"/>
        <w:tab w:val="right" w:pos="9638"/>
      </w:tabs>
      <w:spacing w:after="0"/>
      <w:rPr>
        <w:sz w:val="18"/>
        <w:szCs w:val="18"/>
      </w:rPr>
    </w:pPr>
    <w:r>
      <w:rPr>
        <w:sz w:val="18"/>
        <w:szCs w:val="18"/>
      </w:rPr>
      <w:t>Udarbejdet af Christina Hellensberg, CFU UCC, december 2017</w:t>
    </w:r>
  </w:p>
  <w:p w:rsidR="00A61438" w:rsidRDefault="00D26789">
    <w:pPr>
      <w:tabs>
        <w:tab w:val="center" w:pos="4819"/>
        <w:tab w:val="right" w:pos="9638"/>
      </w:tabs>
      <w:spacing w:after="0"/>
    </w:pPr>
    <w:proofErr w:type="spellStart"/>
    <w:r>
      <w:rPr>
        <w:sz w:val="18"/>
        <w:szCs w:val="18"/>
      </w:rPr>
      <w:t>Schmecksplosion</w:t>
    </w:r>
    <w:proofErr w:type="spellEnd"/>
    <w:r>
      <w:rPr>
        <w:sz w:val="18"/>
        <w:szCs w:val="18"/>
      </w:rPr>
      <w:t xml:space="preserve"> Caitlin </w:t>
    </w:r>
    <w:proofErr w:type="spellStart"/>
    <w:r>
      <w:rPr>
        <w:sz w:val="18"/>
        <w:szCs w:val="18"/>
      </w:rPr>
      <w:t>macht</w:t>
    </w:r>
    <w:proofErr w:type="spellEnd"/>
    <w:r>
      <w:rPr>
        <w:sz w:val="18"/>
        <w:szCs w:val="18"/>
      </w:rPr>
      <w:t xml:space="preserve"> </w:t>
    </w:r>
    <w:proofErr w:type="spellStart"/>
    <w:r>
      <w:rPr>
        <w:sz w:val="18"/>
        <w:szCs w:val="18"/>
      </w:rPr>
      <w:t>Schinkengipfeli</w:t>
    </w:r>
    <w:proofErr w:type="spellEnd"/>
    <w:r>
      <w:tab/>
    </w:r>
    <w:r>
      <w:tab/>
    </w:r>
    <w:r>
      <w:rPr>
        <w:noProof/>
      </w:rPr>
      <w:drawing>
        <wp:inline distT="114300" distB="114300" distL="114300" distR="114300">
          <wp:extent cx="533400" cy="10477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rsidR="00A61438" w:rsidRDefault="00D26789">
    <w:pPr>
      <w:tabs>
        <w:tab w:val="center" w:pos="4819"/>
        <w:tab w:val="right" w:pos="9638"/>
      </w:tabs>
      <w:spacing w:after="218"/>
      <w:jc w:val="right"/>
    </w:pPr>
    <w:r>
      <w:fldChar w:fldCharType="begin"/>
    </w:r>
    <w:r>
      <w:instrText>PAGE</w:instrText>
    </w:r>
    <w:r>
      <w:fldChar w:fldCharType="separate"/>
    </w:r>
    <w:r w:rsidR="000469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716" w:rsidRDefault="00B52716">
      <w:pPr>
        <w:spacing w:after="0"/>
      </w:pPr>
      <w:r>
        <w:separator/>
      </w:r>
    </w:p>
  </w:footnote>
  <w:footnote w:type="continuationSeparator" w:id="0">
    <w:p w:rsidR="00B52716" w:rsidRDefault="00B5271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438" w:rsidRDefault="00D26789">
    <w:pPr>
      <w:tabs>
        <w:tab w:val="center" w:pos="0"/>
        <w:tab w:val="left" w:pos="4260"/>
      </w:tabs>
      <w:spacing w:before="708" w:after="0"/>
      <w:ind w:left="720" w:right="5"/>
      <w:jc w:val="right"/>
      <w:rPr>
        <w:color w:val="0000FF"/>
        <w:u w:val="single"/>
      </w:rPr>
    </w:pPr>
    <w:r>
      <w:rPr>
        <w:b/>
      </w:rPr>
      <w:tab/>
    </w:r>
    <w:r>
      <w:rPr>
        <w:b/>
      </w:rPr>
      <w:tab/>
    </w:r>
    <w:r>
      <w:rPr>
        <w:b/>
      </w:rPr>
      <w:tab/>
    </w:r>
    <w:r>
      <w:rPr>
        <w:b/>
      </w:rPr>
      <w:tab/>
    </w:r>
    <w:r>
      <w:rPr>
        <w:b/>
      </w:rPr>
      <w:tab/>
    </w:r>
    <w:r>
      <w:rPr>
        <w:b/>
      </w:rPr>
      <w:tab/>
    </w:r>
    <w:r>
      <w:t>Pædagogisk vejledning</w:t>
    </w:r>
    <w:r>
      <w:tab/>
    </w:r>
    <w:r>
      <w:tab/>
    </w:r>
    <w:r>
      <w:tab/>
    </w:r>
    <w:r>
      <w:tab/>
    </w:r>
    <w:r>
      <w:tab/>
    </w:r>
    <w:r>
      <w:tab/>
    </w:r>
    <w:hyperlink r:id="rId1">
      <w:r>
        <w:rPr>
          <w:color w:val="0000FF"/>
          <w:u w:val="single"/>
        </w:rPr>
        <w:t>http://mitcfu.dk</w:t>
      </w:r>
    </w:hyperlink>
    <w:r>
      <w:rPr>
        <w:color w:val="0000FF"/>
        <w:u w:val="single"/>
      </w:rPr>
      <w:t>/</w:t>
    </w:r>
    <w:r w:rsidR="00046995" w:rsidRPr="00046995">
      <w:rPr>
        <w:color w:val="0000FF"/>
        <w:u w:val="single"/>
      </w:rPr>
      <w:t>TV0000106240</w:t>
    </w:r>
    <w:r>
      <w:rPr>
        <w:noProof/>
      </w:rPr>
      <w:drawing>
        <wp:anchor distT="0" distB="0" distL="114300" distR="114300" simplePos="0" relativeHeight="251658240" behindDoc="0" locked="0" layoutInCell="1" hidden="0" allowOverlap="1">
          <wp:simplePos x="0" y="0"/>
          <wp:positionH relativeFrom="margin">
            <wp:posOffset>9525</wp:posOffset>
          </wp:positionH>
          <wp:positionV relativeFrom="paragraph">
            <wp:posOffset>342900</wp:posOffset>
          </wp:positionV>
          <wp:extent cx="2418398" cy="390525"/>
          <wp:effectExtent l="0" t="0" r="0" b="0"/>
          <wp:wrapSquare wrapText="bothSides" distT="0" distB="0" distL="114300" distR="114300"/>
          <wp:docPr id="1" name="image4.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4.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p>
  <w:p w:rsidR="00A61438" w:rsidRDefault="00B52716">
    <w:pPr>
      <w:tabs>
        <w:tab w:val="center" w:pos="4819"/>
        <w:tab w:val="right" w:pos="9638"/>
      </w:tabs>
      <w:spacing w:after="0"/>
      <w:jc w:val="right"/>
    </w:pPr>
    <w:r>
      <w:pict>
        <v:rect id="_x0000_i1025"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9E1BD5"/>
    <w:multiLevelType w:val="multilevel"/>
    <w:tmpl w:val="DD127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995F34"/>
    <w:multiLevelType w:val="multilevel"/>
    <w:tmpl w:val="25B4C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CD6D48"/>
    <w:multiLevelType w:val="multilevel"/>
    <w:tmpl w:val="73482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A64E3B"/>
    <w:multiLevelType w:val="multilevel"/>
    <w:tmpl w:val="FB660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796DFC"/>
    <w:multiLevelType w:val="multilevel"/>
    <w:tmpl w:val="60E4A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B4762C6"/>
    <w:multiLevelType w:val="multilevel"/>
    <w:tmpl w:val="2BDC1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438"/>
    <w:rsid w:val="00046995"/>
    <w:rsid w:val="00235303"/>
    <w:rsid w:val="0085355A"/>
    <w:rsid w:val="00A61438"/>
    <w:rsid w:val="00B52716"/>
    <w:rsid w:val="00D2678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54014E-0D19-4AA2-A4D3-CD3BB8930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da-DK" w:eastAsia="da-DK" w:bidi="ar-SA"/>
      </w:rPr>
    </w:rPrDefault>
    <w:pPrDefault>
      <w:pPr>
        <w:widowControl w:val="0"/>
        <w:pBdr>
          <w:top w:val="nil"/>
          <w:left w:val="nil"/>
          <w:bottom w:val="nil"/>
          <w:right w:val="nil"/>
          <w:between w:val="nil"/>
        </w:pBd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 w:type="paragraph" w:styleId="Sidehoved">
    <w:name w:val="header"/>
    <w:basedOn w:val="Normal"/>
    <w:link w:val="SidehovedTegn"/>
    <w:uiPriority w:val="99"/>
    <w:unhideWhenUsed/>
    <w:rsid w:val="00046995"/>
    <w:pPr>
      <w:tabs>
        <w:tab w:val="center" w:pos="4819"/>
        <w:tab w:val="right" w:pos="9638"/>
      </w:tabs>
      <w:spacing w:after="0"/>
    </w:pPr>
  </w:style>
  <w:style w:type="character" w:customStyle="1" w:styleId="SidehovedTegn">
    <w:name w:val="Sidehoved Tegn"/>
    <w:basedOn w:val="Standardskrifttypeiafsnit"/>
    <w:link w:val="Sidehoved"/>
    <w:uiPriority w:val="99"/>
    <w:rsid w:val="00046995"/>
  </w:style>
  <w:style w:type="paragraph" w:styleId="Sidefod">
    <w:name w:val="footer"/>
    <w:basedOn w:val="Normal"/>
    <w:link w:val="SidefodTegn"/>
    <w:uiPriority w:val="99"/>
    <w:unhideWhenUsed/>
    <w:rsid w:val="00046995"/>
    <w:pPr>
      <w:tabs>
        <w:tab w:val="center" w:pos="4819"/>
        <w:tab w:val="right" w:pos="9638"/>
      </w:tabs>
      <w:spacing w:after="0"/>
    </w:pPr>
  </w:style>
  <w:style w:type="character" w:customStyle="1" w:styleId="SidefodTegn">
    <w:name w:val="Sidefod Tegn"/>
    <w:basedOn w:val="Standardskrifttypeiafsnit"/>
    <w:link w:val="Sidefod"/>
    <w:uiPriority w:val="99"/>
    <w:rsid w:val="00046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idl.de/de/bioprodukte/s85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enny.de/unsere-marken/naturgut/ueber-die-marke/?ecid=sea_google_dg_nonbr_naturgut-%5Bnt%7Cgen%5D_%7Bb%7Dgeneric-+bio+produkte_text-ad_nn_n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aufland.de/sortiment/unsere-marken/k-bio.html?cid=F3002B02C0100K01027W04002002D1000E1000F1000G1000H1000&amp;campaign=946794368&amp;adgroupid=46286518319&amp;keyword=%2Bbio+%2Bprodukte&amp;matchtype=b" TargetMode="External"/><Relationship Id="rId5" Type="http://schemas.openxmlformats.org/officeDocument/2006/relationships/footnotes" Target="footnotes.xml"/><Relationship Id="rId15" Type="http://schemas.openxmlformats.org/officeDocument/2006/relationships/hyperlink" Target="https://www.aldi-sued.de/de/sortiment/aus-unserem-sortiment/bio-sortiment/" TargetMode="External"/><Relationship Id="rId10" Type="http://schemas.openxmlformats.org/officeDocument/2006/relationships/hyperlink" Target="https://www.rewe.de/marken/eigenmarken/bio/?ecid=sea_google_vs_nonbr_bio-%5Bnt%7Cgen%5D_%7Bb%7D-bio-produkte_text-ad_nn_nn&amp;gclid=Cj0KCQiAgZTRBRDmARIsAJvVWAuaxKmTnm9uUhX65aL2BGIOuQGuo0QMWrAPT43BdsQW2qCqi8v4gK8aAkLQEALw_wc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ldi-sued.de/de/sortiment/produktwelten/natuerlich-bi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mitcf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1003</Words>
  <Characters>6122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7111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Hellensberg</dc:creator>
  <cp:lastModifiedBy>Susanne Silke Sønderbæk</cp:lastModifiedBy>
  <cp:revision>3</cp:revision>
  <dcterms:created xsi:type="dcterms:W3CDTF">2017-12-05T12:51:00Z</dcterms:created>
  <dcterms:modified xsi:type="dcterms:W3CDTF">2017-12-05T12:55:00Z</dcterms:modified>
</cp:coreProperties>
</file>