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0EB90C7" w14:textId="77777777" w:rsidR="007922D0" w:rsidRDefault="00C736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2E5B32" wp14:editId="0F6D722C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6292E4" w14:textId="77777777" w:rsidR="007922D0" w:rsidRDefault="007922D0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2E5B32" id="Rektangel 1" o:spid="_x0000_s1026" style="position:absolute;margin-left:397.5pt;margin-top:5.25pt;width:73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416292E4" w14:textId="77777777" w:rsidR="007922D0" w:rsidRDefault="007922D0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7922D0" w14:paraId="7D5110FC" w14:textId="77777777">
        <w:trPr>
          <w:trHeight w:val="200"/>
        </w:trPr>
        <w:tc>
          <w:tcPr>
            <w:tcW w:w="1555" w:type="dxa"/>
          </w:tcPr>
          <w:p w14:paraId="781E0917" w14:textId="77777777" w:rsidR="007922D0" w:rsidRDefault="00C7365E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Titel: </w:t>
            </w:r>
          </w:p>
        </w:tc>
        <w:tc>
          <w:tcPr>
            <w:tcW w:w="5811" w:type="dxa"/>
          </w:tcPr>
          <w:p w14:paraId="334FBFA7" w14:textId="0230E388" w:rsidR="007922D0" w:rsidRDefault="0093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 w:rsidRPr="00937E54">
              <w:rPr>
                <w:b/>
                <w:color w:val="000000"/>
                <w:sz w:val="32"/>
                <w:szCs w:val="32"/>
              </w:rPr>
              <w:t>Mandefald</w:t>
            </w:r>
            <w:r>
              <w:rPr>
                <w:b/>
                <w:color w:val="000000"/>
                <w:sz w:val="32"/>
                <w:szCs w:val="32"/>
              </w:rPr>
              <w:t>. Når mænd er alene</w:t>
            </w:r>
          </w:p>
        </w:tc>
        <w:tc>
          <w:tcPr>
            <w:tcW w:w="2262" w:type="dxa"/>
            <w:vMerge w:val="restart"/>
          </w:tcPr>
          <w:p w14:paraId="15782CBB" w14:textId="28957EB2" w:rsidR="007922D0" w:rsidRDefault="0073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03B9">
              <w:rPr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3DD76D0" wp14:editId="73B92E25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-335915</wp:posOffset>
                  </wp:positionV>
                  <wp:extent cx="1847850" cy="1251769"/>
                  <wp:effectExtent l="0" t="0" r="0" b="5715"/>
                  <wp:wrapNone/>
                  <wp:docPr id="4" name="Billede 4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5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58CB37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78C92E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CADF81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ECF9A9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3278CC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22D0" w14:paraId="3AD46962" w14:textId="77777777">
        <w:trPr>
          <w:trHeight w:val="200"/>
        </w:trPr>
        <w:tc>
          <w:tcPr>
            <w:tcW w:w="1555" w:type="dxa"/>
          </w:tcPr>
          <w:p w14:paraId="2A057C86" w14:textId="77777777" w:rsidR="007922D0" w:rsidRDefault="00C7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14:paraId="2F86E697" w14:textId="7350A783" w:rsidR="007922D0" w:rsidRDefault="00AC5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Ulighed, l</w:t>
            </w:r>
            <w:r w:rsidR="00937E54">
              <w:rPr>
                <w:color w:val="000000"/>
              </w:rPr>
              <w:t>igestilling og køn</w:t>
            </w:r>
          </w:p>
        </w:tc>
        <w:tc>
          <w:tcPr>
            <w:tcW w:w="2262" w:type="dxa"/>
            <w:vMerge/>
          </w:tcPr>
          <w:p w14:paraId="6548F463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22D0" w14:paraId="3B16FD27" w14:textId="77777777">
        <w:trPr>
          <w:trHeight w:val="200"/>
        </w:trPr>
        <w:tc>
          <w:tcPr>
            <w:tcW w:w="1555" w:type="dxa"/>
          </w:tcPr>
          <w:p w14:paraId="01DBB244" w14:textId="77777777" w:rsidR="007922D0" w:rsidRDefault="00C7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11" w:type="dxa"/>
          </w:tcPr>
          <w:p w14:paraId="64529020" w14:textId="6B02C62D" w:rsidR="007922D0" w:rsidRDefault="0093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Samfundsfag </w:t>
            </w:r>
          </w:p>
        </w:tc>
        <w:tc>
          <w:tcPr>
            <w:tcW w:w="2262" w:type="dxa"/>
            <w:vMerge/>
          </w:tcPr>
          <w:p w14:paraId="4E700906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22D0" w14:paraId="044C150A" w14:textId="77777777">
        <w:trPr>
          <w:trHeight w:val="200"/>
        </w:trPr>
        <w:tc>
          <w:tcPr>
            <w:tcW w:w="1555" w:type="dxa"/>
          </w:tcPr>
          <w:p w14:paraId="7BFA9010" w14:textId="77777777" w:rsidR="007922D0" w:rsidRDefault="00C7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811" w:type="dxa"/>
          </w:tcPr>
          <w:p w14:paraId="5675C047" w14:textId="77479868" w:rsidR="007922D0" w:rsidRDefault="0093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Samfundsfag A-niveau og B-niveau </w:t>
            </w:r>
          </w:p>
        </w:tc>
        <w:tc>
          <w:tcPr>
            <w:tcW w:w="2262" w:type="dxa"/>
            <w:vMerge/>
          </w:tcPr>
          <w:p w14:paraId="7E5E5767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22D0" w14:paraId="660243F1" w14:textId="77777777">
        <w:tc>
          <w:tcPr>
            <w:tcW w:w="1555" w:type="dxa"/>
          </w:tcPr>
          <w:p w14:paraId="75CFD59B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14:paraId="41428542" w14:textId="00A7092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2FFF08D3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22D0" w14:paraId="34C4694B" w14:textId="77777777">
        <w:trPr>
          <w:trHeight w:val="10040"/>
        </w:trPr>
        <w:tc>
          <w:tcPr>
            <w:tcW w:w="1555" w:type="dxa"/>
          </w:tcPr>
          <w:p w14:paraId="7FF564B7" w14:textId="77777777" w:rsidR="007922D0" w:rsidRDefault="0079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73" w:type="dxa"/>
            <w:gridSpan w:val="2"/>
          </w:tcPr>
          <w:p w14:paraId="6D0117E3" w14:textId="34A0608C" w:rsidR="00937E54" w:rsidRPr="00937E54" w:rsidRDefault="00C7365E">
            <w:pPr>
              <w:rPr>
                <w:sz w:val="24"/>
                <w:szCs w:val="24"/>
              </w:rPr>
            </w:pPr>
            <w:r>
              <w:rPr>
                <w:b/>
              </w:rPr>
              <w:t>Tv-udsendelse:</w:t>
            </w:r>
            <w:r>
              <w:t xml:space="preserve"> </w:t>
            </w:r>
            <w:r w:rsidR="00937E54">
              <w:t xml:space="preserve">Mandefald, DR, 20.01.2020, 43 min. Dokumentar i 4 afsnit. Dette er afsnit 1. </w:t>
            </w:r>
          </w:p>
          <w:p w14:paraId="6D0E93E8" w14:textId="54D4A747" w:rsidR="007922D0" w:rsidRDefault="007922D0"/>
          <w:p w14:paraId="634D11DB" w14:textId="77777777" w:rsidR="007922D0" w:rsidRDefault="007922D0"/>
          <w:p w14:paraId="1EB2F207" w14:textId="77777777" w:rsidR="007922D0" w:rsidRDefault="00C7365E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AE3081D" w14:textId="7DF6DCE8" w:rsidR="00937E54" w:rsidRDefault="00937E54" w:rsidP="00937E54">
            <w:pPr>
              <w:pStyle w:val="Listeafsnit"/>
              <w:numPr>
                <w:ilvl w:val="0"/>
                <w:numId w:val="1"/>
              </w:numPr>
            </w:pPr>
            <w:r>
              <w:t>Anvende viden, begreber og faglige sammenhænge fra kernestoffet og forskellige teorier fra fagets discipliner til at forklare og diskutere samfundsmæssige problemstillinger og udviklingstendenser</w:t>
            </w:r>
          </w:p>
          <w:p w14:paraId="08509D0E" w14:textId="5CB6A377" w:rsidR="00937E54" w:rsidRDefault="00937E54" w:rsidP="00937E54">
            <w:pPr>
              <w:pStyle w:val="Listeafsnit"/>
              <w:numPr>
                <w:ilvl w:val="0"/>
                <w:numId w:val="1"/>
              </w:numPr>
            </w:pPr>
            <w:r>
              <w:t>Forklare sammenhænge mellem samfundsforandringer og ændringer i sociale og kulturelle mønstre</w:t>
            </w:r>
          </w:p>
          <w:p w14:paraId="47E849FD" w14:textId="3EF5E9A3" w:rsidR="00937E54" w:rsidRDefault="00937E54" w:rsidP="00937E54">
            <w:pPr>
              <w:pStyle w:val="Listeafsnit"/>
              <w:numPr>
                <w:ilvl w:val="0"/>
                <w:numId w:val="1"/>
              </w:numPr>
            </w:pPr>
            <w:r>
              <w:t>Påvise faglige sammenhænge og udviklingstendenser ved hjælp af foreliggende og egne beregninger, tabeller, diagrammer og modeller med brug af digitale hjælpemidler</w:t>
            </w:r>
          </w:p>
          <w:p w14:paraId="2F2542B2" w14:textId="77777777" w:rsidR="00AC553D" w:rsidRPr="00D506CC" w:rsidRDefault="00AC553D" w:rsidP="00AC553D">
            <w:pPr>
              <w:spacing w:before="240"/>
              <w:rPr>
                <w:rStyle w:val="Overskrift1Tegn"/>
                <w:rFonts w:asciiTheme="minorHAnsi" w:hAnsiTheme="minorHAnsi" w:cstheme="minorHAnsi"/>
                <w:color w:val="1D266B"/>
              </w:rPr>
            </w:pPr>
            <w:r>
              <w:rPr>
                <w:rStyle w:val="Overskrift1Tegn"/>
                <w:rFonts w:asciiTheme="minorHAnsi" w:hAnsiTheme="minorHAnsi" w:cstheme="minorHAnsi"/>
                <w:color w:val="1D266B"/>
              </w:rPr>
              <w:t xml:space="preserve">Introduktion </w:t>
            </w:r>
          </w:p>
          <w:p w14:paraId="73B77053" w14:textId="3CD65EF0" w:rsidR="00AC553D" w:rsidRPr="00BD72CC" w:rsidRDefault="00BD72CC" w:rsidP="00AC553D">
            <w:r>
              <w:t xml:space="preserve">Udsendelsen kan bruges i et forløb om køn og ligestilling. Udsendelsen </w:t>
            </w:r>
            <w:r w:rsidR="00AC553D">
              <w:t xml:space="preserve">udgør fire </w:t>
            </w:r>
            <w:r>
              <w:t>cases</w:t>
            </w:r>
            <w:r w:rsidR="00E3682C">
              <w:t>,</w:t>
            </w:r>
            <w:r>
              <w:t xml:space="preserve"> der viser et andet aspekt af ligestillingen – den såkaldte </w:t>
            </w:r>
            <w:r w:rsidR="00E3682C">
              <w:t>”</w:t>
            </w:r>
            <w:r>
              <w:t>tabermand</w:t>
            </w:r>
            <w:r w:rsidR="00E3682C">
              <w:t>”</w:t>
            </w:r>
            <w:r>
              <w:t>. Gennem fire mænd f</w:t>
            </w:r>
            <w:r w:rsidR="00E3682C">
              <w:t>å</w:t>
            </w:r>
            <w:r>
              <w:t xml:space="preserve">r eleverne indblik </w:t>
            </w:r>
            <w:r w:rsidR="00E3682C">
              <w:t xml:space="preserve">i </w:t>
            </w:r>
            <w:r>
              <w:t>en række forskellige problematikker</w:t>
            </w:r>
            <w:r w:rsidR="00E3682C">
              <w:t>,</w:t>
            </w:r>
            <w:r>
              <w:t xml:space="preserve"> der særligt rammer den ufaglærte mand. </w:t>
            </w:r>
          </w:p>
          <w:p w14:paraId="4A7C7099" w14:textId="5FBE263F" w:rsidR="00AC553D" w:rsidRDefault="00BD72CC" w:rsidP="00BD72CC">
            <w:r w:rsidRPr="00BD72CC">
              <w:t>Udsendelsen lægger op til</w:t>
            </w:r>
            <w:r w:rsidR="00AC553D">
              <w:t xml:space="preserve"> at arbejde med ligestilling og manderoller i det senmoderne samfund.  Afsnittet kan fungere selvstændigt i et forløb med fokus på ulighed eller i et tematisk forløb om køn og ligestilling. </w:t>
            </w:r>
          </w:p>
          <w:p w14:paraId="33B65D21" w14:textId="77777777" w:rsidR="00AC553D" w:rsidRPr="00E3682C" w:rsidRDefault="00AC553D" w:rsidP="00BD72CC"/>
          <w:p w14:paraId="7183F03A" w14:textId="77777777" w:rsidR="00AC553D" w:rsidRPr="00E3682C" w:rsidRDefault="00AC553D" w:rsidP="00AC553D">
            <w:pPr>
              <w:rPr>
                <w:rStyle w:val="Overskrift1Tegn"/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E3682C">
              <w:rPr>
                <w:rStyle w:val="Overskrift1Tegn"/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  <w:t xml:space="preserve">Afsnittet kan fungere både som introduktion til spørgsmålet om køn eller senere i et forløb, hvor man ønsker at koble en sociologisk og politisk tilgang til kønsspørgsmålet. </w:t>
            </w:r>
          </w:p>
          <w:p w14:paraId="434C0B1C" w14:textId="77777777" w:rsidR="00AC553D" w:rsidRPr="00E3682C" w:rsidRDefault="00AC553D" w:rsidP="00AC553D">
            <w:pPr>
              <w:spacing w:before="240"/>
              <w:rPr>
                <w:b/>
                <w:color w:val="1D266B"/>
                <w:sz w:val="28"/>
                <w:szCs w:val="28"/>
              </w:rPr>
            </w:pPr>
            <w:r w:rsidRPr="00E3682C">
              <w:rPr>
                <w:b/>
                <w:color w:val="1D266B"/>
                <w:sz w:val="28"/>
                <w:szCs w:val="28"/>
              </w:rPr>
              <w:t>Ideer til undervisningen</w:t>
            </w:r>
          </w:p>
          <w:p w14:paraId="77223C0C" w14:textId="339B07C5" w:rsidR="00AC553D" w:rsidRPr="00E3682C" w:rsidRDefault="00AC553D" w:rsidP="00BD72CC">
            <w:r w:rsidRPr="00E3682C">
              <w:t>Før eleverne ser udsendelsen, bør klassen have arbejde</w:t>
            </w:r>
            <w:r w:rsidR="00E3682C">
              <w:t>t</w:t>
            </w:r>
            <w:r w:rsidRPr="00E3682C">
              <w:t xml:space="preserve"> med grundbogsstof om kønsbegreber og ligestilling</w:t>
            </w:r>
            <w:r w:rsidR="00E3682C">
              <w:t>,</w:t>
            </w:r>
            <w:r w:rsidRPr="00E3682C">
              <w:t xml:space="preserve"> så eleverne har </w:t>
            </w:r>
            <w:r w:rsidR="00E3682C">
              <w:t xml:space="preserve">en </w:t>
            </w:r>
            <w:r w:rsidRPr="00E3682C">
              <w:t xml:space="preserve">forståelse </w:t>
            </w:r>
            <w:r w:rsidR="00E3682C">
              <w:t>af</w:t>
            </w:r>
            <w:r w:rsidRPr="00E3682C">
              <w:t xml:space="preserve"> den generel</w:t>
            </w:r>
            <w:r w:rsidR="00E3682C">
              <w:t>le</w:t>
            </w:r>
            <w:r w:rsidRPr="00E3682C">
              <w:t xml:space="preserve"> ligestillingskamp og debat. Udsendelsen bruges til at diskutere</w:t>
            </w:r>
            <w:r w:rsidR="00E3682C">
              <w:t>,</w:t>
            </w:r>
            <w:r w:rsidRPr="00E3682C">
              <w:t xml:space="preserve"> om mænd også burde kæmpe for ligestilling. Imens eleverne ser udsendelsen udfyldes skemaet</w:t>
            </w:r>
            <w:r w:rsidR="00E3682C">
              <w:t>:</w:t>
            </w:r>
            <w:r w:rsidRPr="00E3682C">
              <w:t xml:space="preserve"> </w:t>
            </w:r>
          </w:p>
          <w:p w14:paraId="05889F85" w14:textId="77777777" w:rsidR="00AC553D" w:rsidRPr="00E3682C" w:rsidRDefault="00AC553D" w:rsidP="00BD72CC"/>
          <w:p w14:paraId="3761CDC4" w14:textId="3B270372" w:rsidR="00AC553D" w:rsidRDefault="00AC553D" w:rsidP="00BD72CC"/>
          <w:p w14:paraId="62BC0042" w14:textId="19034E57" w:rsidR="00E3682C" w:rsidRDefault="00E3682C" w:rsidP="00BD72CC"/>
          <w:p w14:paraId="2EE12BA9" w14:textId="77777777" w:rsidR="005A1FD4" w:rsidRDefault="005A1FD4" w:rsidP="00BD72CC"/>
          <w:p w14:paraId="25915BA8" w14:textId="547612A6" w:rsidR="00E3682C" w:rsidRDefault="00E3682C" w:rsidP="00BD72CC"/>
          <w:p w14:paraId="50B6433E" w14:textId="7B3E92A9" w:rsidR="00E3682C" w:rsidRDefault="00E3682C" w:rsidP="00BD72CC"/>
          <w:p w14:paraId="2A8D683D" w14:textId="0DE4B5F8" w:rsidR="00E3682C" w:rsidRDefault="00E3682C" w:rsidP="00BD72CC"/>
          <w:p w14:paraId="1A259B5A" w14:textId="2FC57E46" w:rsidR="00E3682C" w:rsidRDefault="00E3682C" w:rsidP="00BD72CC"/>
          <w:p w14:paraId="468A0E35" w14:textId="77777777" w:rsidR="00E3682C" w:rsidRPr="00E3682C" w:rsidRDefault="00E3682C" w:rsidP="00BD72CC"/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258"/>
              <w:gridCol w:w="1567"/>
              <w:gridCol w:w="1567"/>
              <w:gridCol w:w="1567"/>
            </w:tblGrid>
            <w:tr w:rsidR="00AC553D" w14:paraId="6FDBA1C2" w14:textId="77777777" w:rsidTr="004C456B">
              <w:tc>
                <w:tcPr>
                  <w:tcW w:w="1874" w:type="dxa"/>
                </w:tcPr>
                <w:p w14:paraId="375F5342" w14:textId="77777777" w:rsidR="00AC553D" w:rsidRDefault="00AC553D" w:rsidP="00BD72CC"/>
              </w:tc>
              <w:tc>
                <w:tcPr>
                  <w:tcW w:w="1258" w:type="dxa"/>
                </w:tcPr>
                <w:p w14:paraId="5F09DF6B" w14:textId="5AFE5C8B" w:rsidR="00AC553D" w:rsidRDefault="00AC553D" w:rsidP="00BD72CC">
                  <w:r>
                    <w:t>Denis</w:t>
                  </w:r>
                </w:p>
              </w:tc>
              <w:tc>
                <w:tcPr>
                  <w:tcW w:w="1567" w:type="dxa"/>
                </w:tcPr>
                <w:p w14:paraId="18CD00E9" w14:textId="73A89523" w:rsidR="00AC553D" w:rsidRDefault="00AC553D" w:rsidP="00BD72CC">
                  <w:r>
                    <w:t xml:space="preserve">Jan </w:t>
                  </w:r>
                </w:p>
              </w:tc>
              <w:tc>
                <w:tcPr>
                  <w:tcW w:w="1567" w:type="dxa"/>
                </w:tcPr>
                <w:p w14:paraId="0BA8B9D9" w14:textId="7FE7A78F" w:rsidR="00AC553D" w:rsidRDefault="00AC553D" w:rsidP="00BD72CC">
                  <w:r>
                    <w:t xml:space="preserve">Flemming </w:t>
                  </w:r>
                </w:p>
              </w:tc>
              <w:tc>
                <w:tcPr>
                  <w:tcW w:w="1567" w:type="dxa"/>
                </w:tcPr>
                <w:p w14:paraId="62EE6D15" w14:textId="7AE655D9" w:rsidR="00AC553D" w:rsidRDefault="00AC553D" w:rsidP="00BD72CC">
                  <w:r>
                    <w:t>Mike</w:t>
                  </w:r>
                </w:p>
              </w:tc>
            </w:tr>
            <w:tr w:rsidR="00AC553D" w14:paraId="05D00DBB" w14:textId="77777777" w:rsidTr="004C456B">
              <w:tc>
                <w:tcPr>
                  <w:tcW w:w="1874" w:type="dxa"/>
                </w:tcPr>
                <w:p w14:paraId="57D9753A" w14:textId="531F1EBC" w:rsidR="00AC553D" w:rsidRDefault="004C456B" w:rsidP="00BD72CC">
                  <w:r>
                    <w:t xml:space="preserve">Uddannelse </w:t>
                  </w:r>
                </w:p>
              </w:tc>
              <w:tc>
                <w:tcPr>
                  <w:tcW w:w="1258" w:type="dxa"/>
                </w:tcPr>
                <w:p w14:paraId="4C7325AF" w14:textId="77777777" w:rsidR="00AC553D" w:rsidRDefault="00AC553D" w:rsidP="00BD72CC"/>
              </w:tc>
              <w:tc>
                <w:tcPr>
                  <w:tcW w:w="1567" w:type="dxa"/>
                </w:tcPr>
                <w:p w14:paraId="78798ED3" w14:textId="77777777" w:rsidR="00AC553D" w:rsidRDefault="00AC553D" w:rsidP="00BD72CC"/>
              </w:tc>
              <w:tc>
                <w:tcPr>
                  <w:tcW w:w="1567" w:type="dxa"/>
                </w:tcPr>
                <w:p w14:paraId="6A693633" w14:textId="77777777" w:rsidR="00AC553D" w:rsidRDefault="00AC553D" w:rsidP="00BD72CC"/>
              </w:tc>
              <w:tc>
                <w:tcPr>
                  <w:tcW w:w="1567" w:type="dxa"/>
                </w:tcPr>
                <w:p w14:paraId="615144FA" w14:textId="77777777" w:rsidR="00AC553D" w:rsidRDefault="00AC553D" w:rsidP="00BD72CC"/>
              </w:tc>
            </w:tr>
            <w:tr w:rsidR="004C456B" w14:paraId="4E03D245" w14:textId="77777777" w:rsidTr="004C456B">
              <w:tc>
                <w:tcPr>
                  <w:tcW w:w="1874" w:type="dxa"/>
                </w:tcPr>
                <w:p w14:paraId="5170F2AC" w14:textId="21B3F0A5" w:rsidR="004C456B" w:rsidRDefault="004C456B" w:rsidP="00BD72CC">
                  <w:r>
                    <w:t>Beskæftigelse</w:t>
                  </w:r>
                </w:p>
              </w:tc>
              <w:tc>
                <w:tcPr>
                  <w:tcW w:w="1258" w:type="dxa"/>
                </w:tcPr>
                <w:p w14:paraId="751A86A6" w14:textId="77777777" w:rsidR="004C456B" w:rsidRDefault="004C456B" w:rsidP="00BD72CC"/>
              </w:tc>
              <w:tc>
                <w:tcPr>
                  <w:tcW w:w="1567" w:type="dxa"/>
                </w:tcPr>
                <w:p w14:paraId="15AC8A2A" w14:textId="77777777" w:rsidR="004C456B" w:rsidRDefault="004C456B" w:rsidP="00BD72CC"/>
              </w:tc>
              <w:tc>
                <w:tcPr>
                  <w:tcW w:w="1567" w:type="dxa"/>
                </w:tcPr>
                <w:p w14:paraId="173D2A7A" w14:textId="77777777" w:rsidR="004C456B" w:rsidRDefault="004C456B" w:rsidP="00BD72CC"/>
              </w:tc>
              <w:tc>
                <w:tcPr>
                  <w:tcW w:w="1567" w:type="dxa"/>
                </w:tcPr>
                <w:p w14:paraId="20934D29" w14:textId="77777777" w:rsidR="004C456B" w:rsidRDefault="004C456B" w:rsidP="00BD72CC"/>
              </w:tc>
            </w:tr>
            <w:tr w:rsidR="004C456B" w14:paraId="2AB99FB5" w14:textId="77777777" w:rsidTr="004C456B">
              <w:tc>
                <w:tcPr>
                  <w:tcW w:w="1874" w:type="dxa"/>
                </w:tcPr>
                <w:p w14:paraId="23A3AC87" w14:textId="45E28E6F" w:rsidR="004C456B" w:rsidRDefault="004C456B" w:rsidP="00BD72CC">
                  <w:r>
                    <w:t xml:space="preserve">Bopæl </w:t>
                  </w:r>
                </w:p>
              </w:tc>
              <w:tc>
                <w:tcPr>
                  <w:tcW w:w="1258" w:type="dxa"/>
                </w:tcPr>
                <w:p w14:paraId="591E8604" w14:textId="77777777" w:rsidR="004C456B" w:rsidRDefault="004C456B" w:rsidP="00BD72CC"/>
              </w:tc>
              <w:tc>
                <w:tcPr>
                  <w:tcW w:w="1567" w:type="dxa"/>
                </w:tcPr>
                <w:p w14:paraId="03083288" w14:textId="77777777" w:rsidR="004C456B" w:rsidRDefault="004C456B" w:rsidP="00BD72CC"/>
              </w:tc>
              <w:tc>
                <w:tcPr>
                  <w:tcW w:w="1567" w:type="dxa"/>
                </w:tcPr>
                <w:p w14:paraId="6C872E2C" w14:textId="77777777" w:rsidR="004C456B" w:rsidRDefault="004C456B" w:rsidP="00BD72CC"/>
              </w:tc>
              <w:tc>
                <w:tcPr>
                  <w:tcW w:w="1567" w:type="dxa"/>
                </w:tcPr>
                <w:p w14:paraId="1903329E" w14:textId="77777777" w:rsidR="004C456B" w:rsidRDefault="004C456B" w:rsidP="00BD72CC"/>
              </w:tc>
            </w:tr>
            <w:tr w:rsidR="004C456B" w14:paraId="5335D0B9" w14:textId="77777777" w:rsidTr="004C456B">
              <w:tc>
                <w:tcPr>
                  <w:tcW w:w="1874" w:type="dxa"/>
                </w:tcPr>
                <w:p w14:paraId="32CDA449" w14:textId="0482E467" w:rsidR="004C456B" w:rsidRDefault="004C456B" w:rsidP="00BD72CC">
                  <w:r>
                    <w:t xml:space="preserve">Fritidsaktiviteter </w:t>
                  </w:r>
                </w:p>
              </w:tc>
              <w:tc>
                <w:tcPr>
                  <w:tcW w:w="1258" w:type="dxa"/>
                </w:tcPr>
                <w:p w14:paraId="16244CAE" w14:textId="77777777" w:rsidR="004C456B" w:rsidRDefault="004C456B" w:rsidP="00BD72CC"/>
              </w:tc>
              <w:tc>
                <w:tcPr>
                  <w:tcW w:w="1567" w:type="dxa"/>
                </w:tcPr>
                <w:p w14:paraId="099E5F9E" w14:textId="77777777" w:rsidR="004C456B" w:rsidRDefault="004C456B" w:rsidP="00BD72CC"/>
              </w:tc>
              <w:tc>
                <w:tcPr>
                  <w:tcW w:w="1567" w:type="dxa"/>
                </w:tcPr>
                <w:p w14:paraId="1BC6F0EA" w14:textId="77777777" w:rsidR="004C456B" w:rsidRDefault="004C456B" w:rsidP="00BD72CC"/>
              </w:tc>
              <w:tc>
                <w:tcPr>
                  <w:tcW w:w="1567" w:type="dxa"/>
                </w:tcPr>
                <w:p w14:paraId="3A15038B" w14:textId="77777777" w:rsidR="004C456B" w:rsidRDefault="004C456B" w:rsidP="00BD72CC"/>
              </w:tc>
            </w:tr>
            <w:tr w:rsidR="004C456B" w14:paraId="20D29617" w14:textId="77777777" w:rsidTr="004C456B">
              <w:tc>
                <w:tcPr>
                  <w:tcW w:w="1874" w:type="dxa"/>
                </w:tcPr>
                <w:p w14:paraId="0F39BCCD" w14:textId="5B1C2BC4" w:rsidR="004C456B" w:rsidRDefault="004C456B" w:rsidP="00BD72CC">
                  <w:r>
                    <w:t>Omgangskreds</w:t>
                  </w:r>
                </w:p>
              </w:tc>
              <w:tc>
                <w:tcPr>
                  <w:tcW w:w="1258" w:type="dxa"/>
                </w:tcPr>
                <w:p w14:paraId="350CB1A8" w14:textId="77777777" w:rsidR="004C456B" w:rsidRDefault="004C456B" w:rsidP="00BD72CC"/>
              </w:tc>
              <w:tc>
                <w:tcPr>
                  <w:tcW w:w="1567" w:type="dxa"/>
                </w:tcPr>
                <w:p w14:paraId="430841D0" w14:textId="77777777" w:rsidR="004C456B" w:rsidRDefault="004C456B" w:rsidP="00BD72CC"/>
              </w:tc>
              <w:tc>
                <w:tcPr>
                  <w:tcW w:w="1567" w:type="dxa"/>
                </w:tcPr>
                <w:p w14:paraId="2ED1A2DA" w14:textId="77777777" w:rsidR="004C456B" w:rsidRDefault="004C456B" w:rsidP="00BD72CC"/>
              </w:tc>
              <w:tc>
                <w:tcPr>
                  <w:tcW w:w="1567" w:type="dxa"/>
                </w:tcPr>
                <w:p w14:paraId="3B615A51" w14:textId="77777777" w:rsidR="004C456B" w:rsidRDefault="004C456B" w:rsidP="00BD72CC"/>
              </w:tc>
            </w:tr>
            <w:tr w:rsidR="004C456B" w14:paraId="78C3047B" w14:textId="77777777" w:rsidTr="004C456B">
              <w:tc>
                <w:tcPr>
                  <w:tcW w:w="1874" w:type="dxa"/>
                </w:tcPr>
                <w:p w14:paraId="682E5EF3" w14:textId="394FEBBC" w:rsidR="004C456B" w:rsidRDefault="004C456B" w:rsidP="00BD72CC">
                  <w:r>
                    <w:t>Nære</w:t>
                  </w:r>
                  <w:r w:rsidR="00E3682C">
                    <w:t xml:space="preserve"> </w:t>
                  </w:r>
                  <w:r>
                    <w:t>relationer</w:t>
                  </w:r>
                </w:p>
              </w:tc>
              <w:tc>
                <w:tcPr>
                  <w:tcW w:w="1258" w:type="dxa"/>
                </w:tcPr>
                <w:p w14:paraId="55FD7461" w14:textId="77777777" w:rsidR="004C456B" w:rsidRDefault="004C456B" w:rsidP="00BD72CC"/>
              </w:tc>
              <w:tc>
                <w:tcPr>
                  <w:tcW w:w="1567" w:type="dxa"/>
                </w:tcPr>
                <w:p w14:paraId="7766A0D9" w14:textId="77777777" w:rsidR="004C456B" w:rsidRDefault="004C456B" w:rsidP="00BD72CC"/>
              </w:tc>
              <w:tc>
                <w:tcPr>
                  <w:tcW w:w="1567" w:type="dxa"/>
                </w:tcPr>
                <w:p w14:paraId="3735AF73" w14:textId="77777777" w:rsidR="004C456B" w:rsidRDefault="004C456B" w:rsidP="00BD72CC"/>
              </w:tc>
              <w:tc>
                <w:tcPr>
                  <w:tcW w:w="1567" w:type="dxa"/>
                </w:tcPr>
                <w:p w14:paraId="2198AA1E" w14:textId="77777777" w:rsidR="004C456B" w:rsidRDefault="004C456B" w:rsidP="00BD72CC"/>
              </w:tc>
            </w:tr>
            <w:tr w:rsidR="004C456B" w14:paraId="1BF1CAA9" w14:textId="77777777" w:rsidTr="004C456B">
              <w:tc>
                <w:tcPr>
                  <w:tcW w:w="1874" w:type="dxa"/>
                </w:tcPr>
                <w:p w14:paraId="2BF3AC83" w14:textId="538A92C9" w:rsidR="004C456B" w:rsidRDefault="004C456B" w:rsidP="00BD72CC">
                  <w:r>
                    <w:t>Sundhed</w:t>
                  </w:r>
                </w:p>
              </w:tc>
              <w:tc>
                <w:tcPr>
                  <w:tcW w:w="1258" w:type="dxa"/>
                </w:tcPr>
                <w:p w14:paraId="3E2DFB1A" w14:textId="77777777" w:rsidR="004C456B" w:rsidRDefault="004C456B" w:rsidP="00BD72CC"/>
              </w:tc>
              <w:tc>
                <w:tcPr>
                  <w:tcW w:w="1567" w:type="dxa"/>
                </w:tcPr>
                <w:p w14:paraId="0506E24D" w14:textId="77777777" w:rsidR="004C456B" w:rsidRDefault="004C456B" w:rsidP="00BD72CC"/>
              </w:tc>
              <w:tc>
                <w:tcPr>
                  <w:tcW w:w="1567" w:type="dxa"/>
                </w:tcPr>
                <w:p w14:paraId="74244CE1" w14:textId="77777777" w:rsidR="004C456B" w:rsidRDefault="004C456B" w:rsidP="00BD72CC"/>
              </w:tc>
              <w:tc>
                <w:tcPr>
                  <w:tcW w:w="1567" w:type="dxa"/>
                </w:tcPr>
                <w:p w14:paraId="2FA65AAF" w14:textId="77777777" w:rsidR="004C456B" w:rsidRDefault="004C456B" w:rsidP="00BD72CC"/>
              </w:tc>
            </w:tr>
            <w:tr w:rsidR="004C456B" w14:paraId="736899C5" w14:textId="77777777" w:rsidTr="004C456B">
              <w:tc>
                <w:tcPr>
                  <w:tcW w:w="1874" w:type="dxa"/>
                </w:tcPr>
                <w:p w14:paraId="043C8FC4" w14:textId="73E40135" w:rsidR="004C456B" w:rsidRDefault="004C456B" w:rsidP="00BD72CC">
                  <w:r>
                    <w:t>Værdier og livssyn</w:t>
                  </w:r>
                </w:p>
              </w:tc>
              <w:tc>
                <w:tcPr>
                  <w:tcW w:w="1258" w:type="dxa"/>
                </w:tcPr>
                <w:p w14:paraId="2263FA84" w14:textId="77777777" w:rsidR="004C456B" w:rsidRDefault="004C456B" w:rsidP="00BD72CC"/>
              </w:tc>
              <w:tc>
                <w:tcPr>
                  <w:tcW w:w="1567" w:type="dxa"/>
                </w:tcPr>
                <w:p w14:paraId="708E6926" w14:textId="77777777" w:rsidR="004C456B" w:rsidRDefault="004C456B" w:rsidP="00BD72CC"/>
              </w:tc>
              <w:tc>
                <w:tcPr>
                  <w:tcW w:w="1567" w:type="dxa"/>
                </w:tcPr>
                <w:p w14:paraId="2264D6C9" w14:textId="77777777" w:rsidR="004C456B" w:rsidRDefault="004C456B" w:rsidP="00BD72CC"/>
              </w:tc>
              <w:tc>
                <w:tcPr>
                  <w:tcW w:w="1567" w:type="dxa"/>
                </w:tcPr>
                <w:p w14:paraId="119099CA" w14:textId="77777777" w:rsidR="004C456B" w:rsidRDefault="004C456B" w:rsidP="00BD72CC"/>
              </w:tc>
            </w:tr>
            <w:tr w:rsidR="004C456B" w14:paraId="588AA0A5" w14:textId="77777777" w:rsidTr="004C456B">
              <w:tc>
                <w:tcPr>
                  <w:tcW w:w="1874" w:type="dxa"/>
                </w:tcPr>
                <w:p w14:paraId="32DFDA93" w14:textId="1914D789" w:rsidR="004C456B" w:rsidRDefault="004C456B" w:rsidP="00BD72CC">
                  <w:r>
                    <w:t>Savn og drømme</w:t>
                  </w:r>
                </w:p>
              </w:tc>
              <w:tc>
                <w:tcPr>
                  <w:tcW w:w="1258" w:type="dxa"/>
                </w:tcPr>
                <w:p w14:paraId="50D10B60" w14:textId="77777777" w:rsidR="004C456B" w:rsidRDefault="004C456B" w:rsidP="00BD72CC"/>
              </w:tc>
              <w:tc>
                <w:tcPr>
                  <w:tcW w:w="1567" w:type="dxa"/>
                </w:tcPr>
                <w:p w14:paraId="7EAE30C5" w14:textId="77777777" w:rsidR="004C456B" w:rsidRDefault="004C456B" w:rsidP="00BD72CC"/>
              </w:tc>
              <w:tc>
                <w:tcPr>
                  <w:tcW w:w="1567" w:type="dxa"/>
                </w:tcPr>
                <w:p w14:paraId="7B920008" w14:textId="77777777" w:rsidR="004C456B" w:rsidRDefault="004C456B" w:rsidP="00BD72CC"/>
              </w:tc>
              <w:tc>
                <w:tcPr>
                  <w:tcW w:w="1567" w:type="dxa"/>
                </w:tcPr>
                <w:p w14:paraId="2B182686" w14:textId="77777777" w:rsidR="004C456B" w:rsidRDefault="004C456B" w:rsidP="00BD72CC"/>
              </w:tc>
            </w:tr>
            <w:tr w:rsidR="004C456B" w14:paraId="32C20E3A" w14:textId="77777777" w:rsidTr="004C456B">
              <w:tc>
                <w:tcPr>
                  <w:tcW w:w="1874" w:type="dxa"/>
                </w:tcPr>
                <w:p w14:paraId="2BCB4AEA" w14:textId="61D28E3B" w:rsidR="004C456B" w:rsidRDefault="004C456B" w:rsidP="00BD72CC">
                  <w:r>
                    <w:t>Opfattelse af livssituation</w:t>
                  </w:r>
                </w:p>
              </w:tc>
              <w:tc>
                <w:tcPr>
                  <w:tcW w:w="1258" w:type="dxa"/>
                </w:tcPr>
                <w:p w14:paraId="3105B0E6" w14:textId="77777777" w:rsidR="004C456B" w:rsidRDefault="004C456B" w:rsidP="00BD72CC"/>
              </w:tc>
              <w:tc>
                <w:tcPr>
                  <w:tcW w:w="1567" w:type="dxa"/>
                </w:tcPr>
                <w:p w14:paraId="426042BE" w14:textId="77777777" w:rsidR="004C456B" w:rsidRDefault="004C456B" w:rsidP="00BD72CC"/>
              </w:tc>
              <w:tc>
                <w:tcPr>
                  <w:tcW w:w="1567" w:type="dxa"/>
                </w:tcPr>
                <w:p w14:paraId="01ED4F0A" w14:textId="77777777" w:rsidR="004C456B" w:rsidRDefault="004C456B" w:rsidP="00BD72CC"/>
              </w:tc>
              <w:tc>
                <w:tcPr>
                  <w:tcW w:w="1567" w:type="dxa"/>
                </w:tcPr>
                <w:p w14:paraId="07FDE836" w14:textId="77777777" w:rsidR="004C456B" w:rsidRDefault="004C456B" w:rsidP="00BD72CC"/>
              </w:tc>
            </w:tr>
            <w:tr w:rsidR="004C456B" w14:paraId="6834750A" w14:textId="77777777" w:rsidTr="004C456B">
              <w:tc>
                <w:tcPr>
                  <w:tcW w:w="1874" w:type="dxa"/>
                </w:tcPr>
                <w:p w14:paraId="4235DB13" w14:textId="1BB6CCAF" w:rsidR="004C456B" w:rsidRDefault="004C456B" w:rsidP="00BD72CC">
                  <w:r>
                    <w:t>Forsøg på forandringer</w:t>
                  </w:r>
                </w:p>
              </w:tc>
              <w:tc>
                <w:tcPr>
                  <w:tcW w:w="1258" w:type="dxa"/>
                </w:tcPr>
                <w:p w14:paraId="2722439E" w14:textId="77777777" w:rsidR="004C456B" w:rsidRDefault="004C456B" w:rsidP="00BD72CC"/>
              </w:tc>
              <w:tc>
                <w:tcPr>
                  <w:tcW w:w="1567" w:type="dxa"/>
                </w:tcPr>
                <w:p w14:paraId="6888C476" w14:textId="77777777" w:rsidR="004C456B" w:rsidRDefault="004C456B" w:rsidP="00BD72CC"/>
              </w:tc>
              <w:tc>
                <w:tcPr>
                  <w:tcW w:w="1567" w:type="dxa"/>
                </w:tcPr>
                <w:p w14:paraId="61E5C851" w14:textId="77777777" w:rsidR="004C456B" w:rsidRDefault="004C456B" w:rsidP="00BD72CC"/>
              </w:tc>
              <w:tc>
                <w:tcPr>
                  <w:tcW w:w="1567" w:type="dxa"/>
                </w:tcPr>
                <w:p w14:paraId="4742C961" w14:textId="77777777" w:rsidR="004C456B" w:rsidRDefault="004C456B" w:rsidP="00BD72CC"/>
              </w:tc>
            </w:tr>
          </w:tbl>
          <w:p w14:paraId="32252441" w14:textId="2BAB1C13" w:rsidR="004C456B" w:rsidRPr="004C456B" w:rsidRDefault="00AC553D" w:rsidP="00BD72CC">
            <w:r>
              <w:t xml:space="preserve">   </w:t>
            </w:r>
          </w:p>
          <w:p w14:paraId="06E86E8D" w14:textId="55ECB292" w:rsidR="00BD72CC" w:rsidRPr="002C66C7" w:rsidRDefault="00BD72CC" w:rsidP="00E3682C">
            <w:pPr>
              <w:pStyle w:val="Overskrift1"/>
              <w:outlineLvl w:val="0"/>
            </w:pPr>
            <w:r w:rsidRPr="002C66C7">
              <w:t xml:space="preserve">Efter udsendelsen </w:t>
            </w:r>
          </w:p>
          <w:p w14:paraId="1DE5C23C" w14:textId="6D987088" w:rsidR="00BD72CC" w:rsidRDefault="004C456B" w:rsidP="00BD72CC">
            <w:r w:rsidRPr="004C456B">
              <w:t>Efter at have set udsendelse</w:t>
            </w:r>
            <w:r>
              <w:t xml:space="preserve">n </w:t>
            </w:r>
            <w:r w:rsidR="00E3682C">
              <w:t>laver</w:t>
            </w:r>
            <w:r>
              <w:t xml:space="preserve"> eleverne op</w:t>
            </w:r>
            <w:r w:rsidR="00E3682C">
              <w:t>samlingen</w:t>
            </w:r>
            <w:r>
              <w:t xml:space="preserve"> i grupper med fokus på:  </w:t>
            </w:r>
          </w:p>
          <w:p w14:paraId="12593551" w14:textId="77777777" w:rsidR="00BD72CC" w:rsidRDefault="00BD72CC" w:rsidP="00BD72CC">
            <w:pPr>
              <w:pStyle w:val="Listeafsnit"/>
              <w:widowControl/>
              <w:numPr>
                <w:ilvl w:val="0"/>
                <w:numId w:val="3"/>
              </w:numPr>
              <w:spacing w:after="160" w:line="259" w:lineRule="auto"/>
            </w:pPr>
            <w:r>
              <w:t xml:space="preserve">Hvad kendetegner mændene? Hvilke fordele er der ved at tage udgangspunkt i fire konkrete cases? </w:t>
            </w:r>
          </w:p>
          <w:p w14:paraId="035F1CC7" w14:textId="77E297CA" w:rsidR="00BD72CC" w:rsidRDefault="00BD72CC" w:rsidP="00BD72CC">
            <w:pPr>
              <w:pStyle w:val="Listeafsnit"/>
              <w:widowControl/>
              <w:numPr>
                <w:ilvl w:val="0"/>
                <w:numId w:val="3"/>
              </w:numPr>
              <w:spacing w:after="160" w:line="259" w:lineRule="auto"/>
            </w:pPr>
            <w:r>
              <w:t>Hvilken gruppe af mænd er ifølge udsendelse</w:t>
            </w:r>
            <w:r w:rsidR="00E3682C">
              <w:t>n</w:t>
            </w:r>
            <w:r>
              <w:t xml:space="preserve"> udsatte i det senmoderne samfund? </w:t>
            </w:r>
            <w:r w:rsidR="00E3682C">
              <w:t>Er</w:t>
            </w:r>
            <w:r>
              <w:t xml:space="preserve"> de fire cases </w:t>
            </w:r>
            <w:r w:rsidR="00E3682C">
              <w:t>repræsentative</w:t>
            </w:r>
            <w:r>
              <w:t xml:space="preserve">? </w:t>
            </w:r>
          </w:p>
          <w:p w14:paraId="72DFA22E" w14:textId="128FC948" w:rsidR="00BD72CC" w:rsidRDefault="00BD72CC" w:rsidP="00BD72CC">
            <w:pPr>
              <w:pStyle w:val="Listeafsnit"/>
              <w:widowControl/>
              <w:numPr>
                <w:ilvl w:val="0"/>
                <w:numId w:val="3"/>
              </w:numPr>
              <w:spacing w:after="160" w:line="259" w:lineRule="auto"/>
            </w:pPr>
            <w:r>
              <w:t>Hvilke årsager kan der være til</w:t>
            </w:r>
            <w:r w:rsidR="00E3682C">
              <w:t>,</w:t>
            </w:r>
            <w:r>
              <w:t xml:space="preserve"> at en gruppe af mænd finder</w:t>
            </w:r>
            <w:r w:rsidR="00E3682C">
              <w:t xml:space="preserve"> deres</w:t>
            </w:r>
            <w:r>
              <w:t xml:space="preserve"> partner </w:t>
            </w:r>
            <w:r w:rsidR="00E3682C">
              <w:t>i</w:t>
            </w:r>
            <w:r>
              <w:t xml:space="preserve"> forskellige udviklingslande? </w:t>
            </w:r>
          </w:p>
          <w:p w14:paraId="215C765B" w14:textId="0FE5335D" w:rsidR="00BD72CC" w:rsidRDefault="00BD72CC" w:rsidP="004C456B">
            <w:pPr>
              <w:pStyle w:val="Listeafsnit"/>
              <w:widowControl/>
              <w:numPr>
                <w:ilvl w:val="0"/>
                <w:numId w:val="3"/>
              </w:numPr>
              <w:spacing w:after="160" w:line="259" w:lineRule="auto"/>
            </w:pPr>
            <w:r>
              <w:t>Hvilke årsager kan der være til</w:t>
            </w:r>
            <w:r w:rsidR="00E3682C">
              <w:t>,</w:t>
            </w:r>
            <w:r>
              <w:t xml:space="preserve"> at en gruppe af mænd har det svært i det senmoderne samfund</w:t>
            </w:r>
            <w:r w:rsidR="00E3682C">
              <w:t>?</w:t>
            </w:r>
            <w:r>
              <w:t xml:space="preserve"> </w:t>
            </w:r>
          </w:p>
          <w:p w14:paraId="664F5239" w14:textId="5FCC4255" w:rsidR="004C456B" w:rsidRDefault="004C456B" w:rsidP="004C456B">
            <w:pPr>
              <w:widowControl/>
              <w:spacing w:after="160" w:line="259" w:lineRule="auto"/>
            </w:pPr>
            <w:r>
              <w:t>Derpå kan der være en lille opsamling på klassen</w:t>
            </w:r>
            <w:r w:rsidR="00E3682C">
              <w:t>,</w:t>
            </w:r>
            <w:r w:rsidR="00720F8E">
              <w:t xml:space="preserve"> hvor hver gruppe kort opridser </w:t>
            </w:r>
            <w:r w:rsidR="00E3682C">
              <w:t xml:space="preserve">de </w:t>
            </w:r>
            <w:r w:rsidR="00720F8E">
              <w:t xml:space="preserve">vigtigste pointer. </w:t>
            </w:r>
            <w:r w:rsidR="00E3682C">
              <w:t>Der kan</w:t>
            </w:r>
            <w:r w:rsidR="00720F8E">
              <w:t xml:space="preserve"> evt. lave</w:t>
            </w:r>
            <w:r w:rsidR="00E3682C">
              <w:t>s</w:t>
            </w:r>
            <w:r w:rsidR="00720F8E">
              <w:t xml:space="preserve"> en fælles padlet. </w:t>
            </w:r>
          </w:p>
          <w:p w14:paraId="59822B0C" w14:textId="2C63B479" w:rsidR="00720F8E" w:rsidRPr="001B533C" w:rsidRDefault="004C456B" w:rsidP="00E3682C">
            <w:pPr>
              <w:pStyle w:val="Overskrift1"/>
              <w:outlineLvl w:val="0"/>
            </w:pPr>
            <w:r w:rsidRPr="001B533C">
              <w:t>Videre arbejde</w:t>
            </w:r>
          </w:p>
          <w:p w14:paraId="424733F6" w14:textId="378954C6" w:rsidR="004C456B" w:rsidRPr="002C66C7" w:rsidRDefault="004C456B" w:rsidP="004C456B">
            <w:pPr>
              <w:rPr>
                <w:b/>
                <w:bCs/>
              </w:rPr>
            </w:pPr>
            <w:r>
              <w:rPr>
                <w:b/>
                <w:bCs/>
              </w:rPr>
              <w:t>Opgave 1: Undersøg og argument</w:t>
            </w:r>
            <w:r w:rsidR="00E3682C">
              <w:rPr>
                <w:b/>
                <w:bCs/>
              </w:rPr>
              <w:t>é</w:t>
            </w:r>
            <w:r>
              <w:rPr>
                <w:b/>
                <w:bCs/>
              </w:rPr>
              <w:t>r</w:t>
            </w:r>
            <w:r w:rsidRPr="002C66C7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Hvem er taberne i det senmoder</w:t>
            </w:r>
            <w:r w:rsidR="00E3682C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 samfund</w:t>
            </w:r>
            <w:r w:rsidR="00E3682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og er det et ligestillingsproblem? </w:t>
            </w:r>
          </w:p>
          <w:p w14:paraId="40A14B8B" w14:textId="0A12FA99" w:rsidR="004C456B" w:rsidRDefault="004C456B" w:rsidP="004C456B">
            <w:pPr>
              <w:pStyle w:val="Listeafsnit"/>
              <w:widowControl/>
              <w:numPr>
                <w:ilvl w:val="0"/>
                <w:numId w:val="4"/>
              </w:numPr>
              <w:spacing w:after="160" w:line="259" w:lineRule="auto"/>
            </w:pPr>
            <w:r>
              <w:t>Undersøg</w:t>
            </w:r>
            <w:r w:rsidR="00B20B37">
              <w:t>,</w:t>
            </w:r>
            <w:r>
              <w:t xml:space="preserve"> hvad der kendetegner gruppen af ”tabermænd”. Opstil kategorier</w:t>
            </w:r>
            <w:r w:rsidR="00B20B37">
              <w:t>,</w:t>
            </w:r>
            <w:r>
              <w:t xml:space="preserve"> som kan belyse problemet. I kan både inddrage kvalitative og kvantitative data. </w:t>
            </w:r>
            <w:r w:rsidR="00720F8E">
              <w:t xml:space="preserve">I </w:t>
            </w:r>
            <w:r>
              <w:t>kan fx finde relevante data her</w:t>
            </w:r>
            <w:r w:rsidR="00B20B37">
              <w:t>:</w:t>
            </w:r>
            <w:r>
              <w:br/>
            </w:r>
            <w:hyperlink r:id="rId8" w:history="1">
              <w:r w:rsidRPr="00F278F1">
                <w:rPr>
                  <w:rStyle w:val="Hyperlink"/>
                </w:rPr>
                <w:t>https://sundmand.dk/Viden-om-maend-og-sundhed.php</w:t>
              </w:r>
            </w:hyperlink>
          </w:p>
          <w:p w14:paraId="06DBF1E9" w14:textId="735C761E" w:rsidR="004C456B" w:rsidRDefault="004C456B" w:rsidP="004C456B">
            <w:pPr>
              <w:pStyle w:val="Listeafsnit"/>
              <w:widowControl/>
              <w:numPr>
                <w:ilvl w:val="0"/>
                <w:numId w:val="4"/>
              </w:numPr>
              <w:spacing w:after="160" w:line="259" w:lineRule="auto"/>
            </w:pPr>
            <w:r>
              <w:t>Opstil argumenter for</w:t>
            </w:r>
            <w:r w:rsidR="00B20B37">
              <w:t>,</w:t>
            </w:r>
            <w:r>
              <w:t xml:space="preserve"> at det er et ligestillingsproblem</w:t>
            </w:r>
            <w:r w:rsidR="00B20B37">
              <w:t>,</w:t>
            </w:r>
            <w:r>
              <w:t xml:space="preserve"> at en gruppe af mænd ender i ensomhed</w:t>
            </w:r>
            <w:r w:rsidR="00B20B37">
              <w:t>.</w:t>
            </w:r>
            <w:r>
              <w:t xml:space="preserve"> </w:t>
            </w:r>
          </w:p>
          <w:p w14:paraId="41FD496F" w14:textId="66A106C9" w:rsidR="00720F8E" w:rsidRDefault="00720F8E" w:rsidP="00720F8E">
            <w:pPr>
              <w:widowControl/>
              <w:spacing w:before="240"/>
              <w:rPr>
                <w:rFonts w:eastAsia="Yu Gothic Light"/>
                <w:bCs/>
                <w:sz w:val="24"/>
                <w:szCs w:val="24"/>
                <w:lang w:eastAsia="en-US"/>
              </w:rPr>
            </w:pPr>
            <w:r>
              <w:rPr>
                <w:rFonts w:eastAsia="Yu Gothic Light"/>
                <w:bCs/>
                <w:sz w:val="24"/>
                <w:szCs w:val="24"/>
                <w:lang w:eastAsia="en-US"/>
              </w:rPr>
              <w:t xml:space="preserve">Eleverne skal efterfølgende dele deres undersøgelser med hinanden. Det kan enten være som fremlæggelser, i matrixgrupper eller i mere digitale formater såsom film, screencast eller podcast. </w:t>
            </w:r>
          </w:p>
          <w:p w14:paraId="4B13B07B" w14:textId="77777777" w:rsidR="00B20B37" w:rsidRDefault="00B20B37" w:rsidP="00720F8E">
            <w:pPr>
              <w:widowControl/>
              <w:spacing w:before="240"/>
              <w:rPr>
                <w:b/>
                <w:bCs/>
              </w:rPr>
            </w:pPr>
          </w:p>
          <w:p w14:paraId="3EDC2607" w14:textId="4A8E2AFB" w:rsidR="004C456B" w:rsidRDefault="004C456B" w:rsidP="00720F8E">
            <w:pPr>
              <w:widowControl/>
              <w:spacing w:before="240"/>
              <w:rPr>
                <w:b/>
                <w:bCs/>
              </w:rPr>
            </w:pPr>
            <w:r w:rsidRPr="009D29B8">
              <w:rPr>
                <w:b/>
                <w:bCs/>
              </w:rPr>
              <w:lastRenderedPageBreak/>
              <w:t>‘</w:t>
            </w:r>
            <w:r w:rsidR="00720F8E">
              <w:rPr>
                <w:b/>
                <w:bCs/>
              </w:rPr>
              <w:t>Opgave 2: ’</w:t>
            </w:r>
            <w:r w:rsidRPr="009D29B8">
              <w:rPr>
                <w:b/>
                <w:bCs/>
              </w:rPr>
              <w:t>Forebyggelse for fremtiden’</w:t>
            </w:r>
          </w:p>
          <w:p w14:paraId="1EAB9EBB" w14:textId="3EDFF27B" w:rsidR="004C456B" w:rsidRDefault="004C456B" w:rsidP="004C456B">
            <w:pPr>
              <w:ind w:left="360"/>
            </w:pPr>
            <w:r>
              <w:t>I er en arbejdsgruppe nedsat af kommunalbestyrelse</w:t>
            </w:r>
            <w:r w:rsidR="00B20B37">
              <w:t>n</w:t>
            </w:r>
            <w:r>
              <w:t xml:space="preserve"> på Bornholm. Borgmester Winni Grosbøll (A) ønsker en strategi</w:t>
            </w:r>
            <w:r w:rsidR="00B20B37">
              <w:t>,</w:t>
            </w:r>
            <w:r>
              <w:t xml:space="preserve"> der kan forbedre sundhed</w:t>
            </w:r>
            <w:r w:rsidR="00B20B37">
              <w:t>en</w:t>
            </w:r>
            <w:r>
              <w:t xml:space="preserve"> hos kommune</w:t>
            </w:r>
            <w:r w:rsidR="00B20B37">
              <w:t>n</w:t>
            </w:r>
            <w:r>
              <w:t xml:space="preserve">s befolkning. </w:t>
            </w:r>
            <w:r w:rsidR="00B20B37">
              <w:t>Strategien skal indeholde</w:t>
            </w:r>
            <w:r>
              <w:t xml:space="preserve"> anbefalinger, der gør kommunalbestyrelsen i stand til at udarbejde en politik</w:t>
            </w:r>
            <w:r w:rsidR="00B20B37">
              <w:t>,</w:t>
            </w:r>
            <w:r>
              <w:t xml:space="preserve"> som fremme</w:t>
            </w:r>
            <w:r w:rsidR="00B20B37">
              <w:t>r</w:t>
            </w:r>
            <w:r>
              <w:t xml:space="preserve"> </w:t>
            </w:r>
            <w:r w:rsidRPr="009D29B8">
              <w:t>mulighed</w:t>
            </w:r>
            <w:r w:rsidR="00B20B37">
              <w:t>en</w:t>
            </w:r>
            <w:r w:rsidRPr="009D29B8">
              <w:t xml:space="preserve"> for et sundt liv samt skabe</w:t>
            </w:r>
            <w:r w:rsidR="00B20B37">
              <w:t>r</w:t>
            </w:r>
            <w:r w:rsidRPr="009D29B8">
              <w:t xml:space="preserve"> mere lighed </w:t>
            </w:r>
            <w:r w:rsidR="00B20B37">
              <w:t>i</w:t>
            </w:r>
            <w:r w:rsidRPr="009D29B8">
              <w:t xml:space="preserve"> sundhed</w:t>
            </w:r>
            <w:r>
              <w:t>.</w:t>
            </w:r>
          </w:p>
          <w:p w14:paraId="38F52AA6" w14:textId="77777777" w:rsidR="004C456B" w:rsidRDefault="004C456B" w:rsidP="004C456B">
            <w:pPr>
              <w:ind w:left="360"/>
            </w:pPr>
            <w:r>
              <w:t xml:space="preserve">I strategien skal I: </w:t>
            </w:r>
          </w:p>
          <w:p w14:paraId="3071FD6B" w14:textId="4915771D" w:rsidR="004C456B" w:rsidRDefault="00B20B37" w:rsidP="004C456B">
            <w:pPr>
              <w:pStyle w:val="Listeafsnit"/>
              <w:widowControl/>
              <w:numPr>
                <w:ilvl w:val="0"/>
                <w:numId w:val="2"/>
              </w:numPr>
              <w:spacing w:after="160" w:line="259" w:lineRule="auto"/>
            </w:pPr>
            <w:r>
              <w:t>f</w:t>
            </w:r>
            <w:r w:rsidR="004C456B">
              <w:t>orklar</w:t>
            </w:r>
            <w:r>
              <w:t>e</w:t>
            </w:r>
            <w:r w:rsidR="004C456B">
              <w:t xml:space="preserve"> og dokumenter</w:t>
            </w:r>
            <w:r>
              <w:t>e,</w:t>
            </w:r>
            <w:r w:rsidR="004C456B">
              <w:t xml:space="preserve"> at strategien skal have fokus på ufaglærte mænd </w:t>
            </w:r>
          </w:p>
          <w:p w14:paraId="31C2DF11" w14:textId="153BBB98" w:rsidR="004C456B" w:rsidRDefault="00B20B37" w:rsidP="00154F2B">
            <w:pPr>
              <w:pStyle w:val="Listeafsnit"/>
              <w:widowControl/>
              <w:numPr>
                <w:ilvl w:val="0"/>
                <w:numId w:val="2"/>
              </w:numPr>
              <w:spacing w:after="160" w:line="259" w:lineRule="auto"/>
            </w:pPr>
            <w:r>
              <w:t>formulere a</w:t>
            </w:r>
            <w:r w:rsidR="004C456B">
              <w:t>nbefalinger til</w:t>
            </w:r>
            <w:r>
              <w:t>,</w:t>
            </w:r>
            <w:r w:rsidR="004C456B">
              <w:t xml:space="preserve"> hvordan man særligt kan fremme ufaglærte mænd</w:t>
            </w:r>
            <w:r>
              <w:t>s</w:t>
            </w:r>
            <w:r w:rsidR="004C456B">
              <w:t xml:space="preserve"> sundhed</w:t>
            </w:r>
            <w:r>
              <w:t>. I a</w:t>
            </w:r>
            <w:r w:rsidR="004C456B">
              <w:t xml:space="preserve">nbefalingerne skal </w:t>
            </w:r>
            <w:r>
              <w:t xml:space="preserve">I </w:t>
            </w:r>
            <w:r w:rsidR="004C456B">
              <w:t>indtænke Moli</w:t>
            </w:r>
            <w:r>
              <w:t>n</w:t>
            </w:r>
            <w:r w:rsidR="004C456B">
              <w:t>s</w:t>
            </w:r>
            <w:r>
              <w:t xml:space="preserve"> </w:t>
            </w:r>
            <w:r w:rsidR="004C456B">
              <w:t>model</w:t>
            </w:r>
            <w:r>
              <w:t>,</w:t>
            </w:r>
            <w:r w:rsidR="004C456B">
              <w:t xml:space="preserve"> således at </w:t>
            </w:r>
            <w:r>
              <w:t>de</w:t>
            </w:r>
            <w:r w:rsidR="004C456B">
              <w:t xml:space="preserve"> er tilpasset borgmesterens ideologi, byrådets konstitution og kommunens vælger</w:t>
            </w:r>
            <w:r>
              <w:t>sammensætning</w:t>
            </w:r>
            <w:r w:rsidR="004C456B">
              <w:t xml:space="preserve">. </w:t>
            </w:r>
          </w:p>
          <w:p w14:paraId="27D07D9E" w14:textId="50C4871A" w:rsidR="00720F8E" w:rsidRPr="00FC7B83" w:rsidRDefault="00720F8E" w:rsidP="00720F8E">
            <w:pPr>
              <w:widowControl/>
              <w:spacing w:after="160" w:line="259" w:lineRule="auto"/>
              <w:ind w:left="360"/>
              <w:rPr>
                <w:b/>
                <w:bCs/>
              </w:rPr>
            </w:pPr>
            <w:r w:rsidRPr="00FC7B83">
              <w:rPr>
                <w:b/>
                <w:bCs/>
              </w:rPr>
              <w:t>Produkt</w:t>
            </w:r>
            <w:r w:rsidR="00FC7B83">
              <w:rPr>
                <w:b/>
                <w:bCs/>
              </w:rPr>
              <w:t>:</w:t>
            </w:r>
          </w:p>
          <w:p w14:paraId="79882AAD" w14:textId="37FEE038" w:rsidR="00720F8E" w:rsidRDefault="00720F8E" w:rsidP="00720F8E">
            <w:pPr>
              <w:widowControl/>
              <w:spacing w:after="160" w:line="259" w:lineRule="auto"/>
              <w:ind w:left="360"/>
            </w:pPr>
            <w:r>
              <w:t>Strategien skal fremlægges for borgermester</w:t>
            </w:r>
            <w:r w:rsidR="00B20B37">
              <w:t>en,</w:t>
            </w:r>
            <w:r>
              <w:t xml:space="preserve"> og der skal bruges et præsentationsværktøj. I præsentation</w:t>
            </w:r>
            <w:r w:rsidR="00B20B37">
              <w:t>en</w:t>
            </w:r>
            <w:r>
              <w:t xml:space="preserve"> skal I</w:t>
            </w:r>
            <w:r w:rsidR="00B20B37">
              <w:t>:</w:t>
            </w:r>
            <w:r>
              <w:t xml:space="preserve">  </w:t>
            </w:r>
          </w:p>
          <w:p w14:paraId="6A97B795" w14:textId="306626C3" w:rsidR="00720F8E" w:rsidRDefault="00B20B37" w:rsidP="004C456B">
            <w:pPr>
              <w:pStyle w:val="Listeafsnit"/>
              <w:widowControl/>
              <w:numPr>
                <w:ilvl w:val="0"/>
                <w:numId w:val="2"/>
              </w:numPr>
              <w:spacing w:after="160" w:line="259" w:lineRule="auto"/>
            </w:pPr>
            <w:r>
              <w:t>h</w:t>
            </w:r>
            <w:r w:rsidR="00720F8E">
              <w:t>ave relevante grafer eller figurer</w:t>
            </w:r>
            <w:r>
              <w:t xml:space="preserve"> med, </w:t>
            </w:r>
            <w:r w:rsidR="00720F8E">
              <w:t>som dokumenter</w:t>
            </w:r>
            <w:r>
              <w:t>er,</w:t>
            </w:r>
            <w:r w:rsidR="00720F8E">
              <w:t xml:space="preserve"> at ufaglærte mænd er særligt udsatte (brug materialer fra undersøgelsen)</w:t>
            </w:r>
          </w:p>
          <w:p w14:paraId="5F07B8FE" w14:textId="3A083CEB" w:rsidR="00720F8E" w:rsidRDefault="00B20B37" w:rsidP="004C456B">
            <w:pPr>
              <w:pStyle w:val="Listeafsnit"/>
              <w:widowControl/>
              <w:numPr>
                <w:ilvl w:val="0"/>
                <w:numId w:val="2"/>
              </w:numPr>
              <w:spacing w:after="160" w:line="259" w:lineRule="auto"/>
            </w:pPr>
            <w:r>
              <w:t>have k</w:t>
            </w:r>
            <w:r w:rsidR="00FC7B83">
              <w:t xml:space="preserve">onkrete anbefalinger </w:t>
            </w:r>
          </w:p>
          <w:p w14:paraId="707F18D5" w14:textId="1801DFCC" w:rsidR="007922D0" w:rsidRDefault="00B20B37" w:rsidP="00FC7B83">
            <w:pPr>
              <w:pStyle w:val="Listeafsnit"/>
              <w:widowControl/>
              <w:numPr>
                <w:ilvl w:val="0"/>
                <w:numId w:val="2"/>
              </w:numPr>
              <w:spacing w:after="160" w:line="259" w:lineRule="auto"/>
            </w:pPr>
            <w:r>
              <w:t>fremsætte f</w:t>
            </w:r>
            <w:r w:rsidR="00FC7B83">
              <w:t xml:space="preserve">ordele og ulemper ved de forskellige anbefalinger. Disse skal inddrage Molins model </w:t>
            </w:r>
          </w:p>
          <w:p w14:paraId="56E89C63" w14:textId="77777777" w:rsidR="007922D0" w:rsidRDefault="007922D0"/>
        </w:tc>
      </w:tr>
    </w:tbl>
    <w:p w14:paraId="6E08283A" w14:textId="77777777" w:rsidR="007922D0" w:rsidRDefault="007922D0">
      <w:pPr>
        <w:tabs>
          <w:tab w:val="left" w:pos="1304"/>
          <w:tab w:val="left" w:pos="8745"/>
        </w:tabs>
      </w:pPr>
    </w:p>
    <w:p w14:paraId="49FC2BEF" w14:textId="77777777" w:rsidR="007922D0" w:rsidRDefault="007922D0"/>
    <w:sectPr w:rsidR="007922D0">
      <w:headerReference w:type="default" r:id="rId9"/>
      <w:footerReference w:type="default" r:id="rId10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6731" w14:textId="77777777" w:rsidR="00D5092D" w:rsidRDefault="00D5092D">
      <w:pPr>
        <w:spacing w:after="0"/>
      </w:pPr>
      <w:r>
        <w:separator/>
      </w:r>
    </w:p>
  </w:endnote>
  <w:endnote w:type="continuationSeparator" w:id="0">
    <w:p w14:paraId="382320C5" w14:textId="77777777" w:rsidR="00D5092D" w:rsidRDefault="00D50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DD5" w14:textId="77777777" w:rsidR="007922D0" w:rsidRDefault="00D50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 w14:anchorId="4C6BCBD7">
        <v:rect id="_x0000_i1026" style="width:0;height:1.5pt" o:hralign="center" o:hrstd="t" o:hr="t" fillcolor="#a0a0a0" stroked="f"/>
      </w:pict>
    </w:r>
  </w:p>
  <w:p w14:paraId="6705A779" w14:textId="66A6687C" w:rsidR="007922D0" w:rsidRDefault="00893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 w:rsidRPr="007A6D3E">
      <w:rPr>
        <w:sz w:val="20"/>
        <w:szCs w:val="20"/>
      </w:rPr>
      <w:t>Udarbejdet af</w:t>
    </w:r>
    <w:r>
      <w:rPr>
        <w:sz w:val="20"/>
        <w:szCs w:val="20"/>
      </w:rPr>
      <w:t xml:space="preserve"> gymnasiekonsulent</w:t>
    </w:r>
    <w:r w:rsidRPr="007A6D3E">
      <w:rPr>
        <w:sz w:val="20"/>
        <w:szCs w:val="20"/>
      </w:rPr>
      <w:t xml:space="preserve"> </w:t>
    </w:r>
    <w:r>
      <w:rPr>
        <w:sz w:val="20"/>
        <w:szCs w:val="20"/>
      </w:rPr>
      <w:t>Christian Aalborg Frandsen, CFU Københavns Professionshøjskole</w:t>
    </w:r>
    <w:r w:rsidR="00C7365E">
      <w:rPr>
        <w:color w:val="000000"/>
        <w:sz w:val="18"/>
        <w:szCs w:val="18"/>
      </w:rPr>
      <w:t xml:space="preserve">, </w:t>
    </w:r>
    <w:r w:rsidR="005A1FD4">
      <w:rPr>
        <w:color w:val="000000"/>
        <w:sz w:val="18"/>
        <w:szCs w:val="18"/>
      </w:rPr>
      <w:t>september 2020</w:t>
    </w:r>
  </w:p>
  <w:p w14:paraId="5EF6B7A7" w14:textId="68E7B322" w:rsidR="007922D0" w:rsidRDefault="005A1F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 xml:space="preserve">Titel: </w:t>
    </w:r>
    <w:r w:rsidRPr="005A1FD4">
      <w:rPr>
        <w:color w:val="000000"/>
        <w:sz w:val="18"/>
        <w:szCs w:val="18"/>
      </w:rPr>
      <w:t>Mandefald. Når mænd er alene</w:t>
    </w:r>
    <w:r w:rsidR="00C7365E">
      <w:tab/>
    </w:r>
    <w:r w:rsidR="00C7365E">
      <w:tab/>
    </w:r>
    <w:r w:rsidR="00C7365E">
      <w:rPr>
        <w:noProof/>
      </w:rPr>
      <w:drawing>
        <wp:inline distT="114300" distB="114300" distL="114300" distR="114300" wp14:anchorId="5E77C33B" wp14:editId="33899D41">
          <wp:extent cx="533400" cy="1047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F074AF" w14:textId="751129C4" w:rsidR="007922D0" w:rsidRDefault="00C736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9218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79ED" w14:textId="77777777" w:rsidR="00D5092D" w:rsidRDefault="00D5092D">
      <w:pPr>
        <w:spacing w:after="0"/>
      </w:pPr>
      <w:r>
        <w:separator/>
      </w:r>
    </w:p>
  </w:footnote>
  <w:footnote w:type="continuationSeparator" w:id="0">
    <w:p w14:paraId="29023374" w14:textId="77777777" w:rsidR="00D5092D" w:rsidRDefault="00D509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6A0B" w14:textId="6851A8A9" w:rsidR="007922D0" w:rsidRDefault="00C7365E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7303B9" w:rsidRPr="007303B9">
      <w:rPr>
        <w:color w:val="0000FF"/>
        <w:u w:val="single"/>
      </w:rPr>
      <w:t>TV0000119312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ABD946" wp14:editId="36BAFDD0">
          <wp:simplePos x="0" y="0"/>
          <wp:positionH relativeFrom="colum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2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AF2AD2" w14:textId="77777777" w:rsidR="007922D0" w:rsidRDefault="00D50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 w14:anchorId="3EA7F4E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30E"/>
    <w:multiLevelType w:val="hybridMultilevel"/>
    <w:tmpl w:val="E49A9488"/>
    <w:lvl w:ilvl="0" w:tplc="1F021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041"/>
    <w:multiLevelType w:val="hybridMultilevel"/>
    <w:tmpl w:val="6C5ED750"/>
    <w:lvl w:ilvl="0" w:tplc="D74E6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87ED2"/>
    <w:multiLevelType w:val="hybridMultilevel"/>
    <w:tmpl w:val="D32E4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91853"/>
    <w:multiLevelType w:val="hybridMultilevel"/>
    <w:tmpl w:val="91500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D0"/>
    <w:rsid w:val="000977CD"/>
    <w:rsid w:val="001607C7"/>
    <w:rsid w:val="003407DF"/>
    <w:rsid w:val="003A7BB3"/>
    <w:rsid w:val="004C456B"/>
    <w:rsid w:val="005640DE"/>
    <w:rsid w:val="005A1FD4"/>
    <w:rsid w:val="00720F8E"/>
    <w:rsid w:val="00726904"/>
    <w:rsid w:val="007303B9"/>
    <w:rsid w:val="007922D0"/>
    <w:rsid w:val="00893ED1"/>
    <w:rsid w:val="009218DD"/>
    <w:rsid w:val="00937E54"/>
    <w:rsid w:val="00AC553D"/>
    <w:rsid w:val="00B05F70"/>
    <w:rsid w:val="00B20B37"/>
    <w:rsid w:val="00BD72CC"/>
    <w:rsid w:val="00C7365E"/>
    <w:rsid w:val="00C965B3"/>
    <w:rsid w:val="00D5092D"/>
    <w:rsid w:val="00DA2E82"/>
    <w:rsid w:val="00E3682C"/>
    <w:rsid w:val="00FB2511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B3B0"/>
  <w15:docId w15:val="{77758354-5EA9-4118-9387-9BC4993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893ED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ED1"/>
  </w:style>
  <w:style w:type="paragraph" w:styleId="Sidefod">
    <w:name w:val="footer"/>
    <w:basedOn w:val="Normal"/>
    <w:link w:val="SidefodTegn"/>
    <w:uiPriority w:val="99"/>
    <w:unhideWhenUsed/>
    <w:rsid w:val="00893ED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93ED1"/>
  </w:style>
  <w:style w:type="paragraph" w:styleId="Listeafsnit">
    <w:name w:val="List Paragraph"/>
    <w:basedOn w:val="Normal"/>
    <w:uiPriority w:val="34"/>
    <w:qFormat/>
    <w:rsid w:val="00937E5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C553D"/>
    <w:rPr>
      <w:rFonts w:ascii="Cambria" w:eastAsia="Cambria" w:hAnsi="Cambria" w:cs="Cambria"/>
      <w:b/>
      <w:color w:val="366091"/>
      <w:sz w:val="28"/>
      <w:szCs w:val="28"/>
    </w:rPr>
  </w:style>
  <w:style w:type="table" w:styleId="Tabel-Gitter">
    <w:name w:val="Table Grid"/>
    <w:basedOn w:val="Tabel-Normal"/>
    <w:uiPriority w:val="39"/>
    <w:rsid w:val="00AC55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C456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6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mand.dk/Viden-om-maend-og-sundhe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Aalborg Frandsen</dc:creator>
  <cp:lastModifiedBy>Karin Abrahamsen (KAAB) | VIA</cp:lastModifiedBy>
  <cp:revision>2</cp:revision>
  <dcterms:created xsi:type="dcterms:W3CDTF">2020-09-08T11:43:00Z</dcterms:created>
  <dcterms:modified xsi:type="dcterms:W3CDTF">2020-09-08T11:43:00Z</dcterms:modified>
</cp:coreProperties>
</file>