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672C00" w:rsidRDefault="00C458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68580</wp:posOffset>
                </wp:positionV>
                <wp:extent cx="1003300" cy="13462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3462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2C00" w:rsidRDefault="00D224EA">
                            <w:pPr>
                              <w:spacing w:after="0"/>
                              <w:textDirection w:val="btLr"/>
                            </w:pPr>
                            <w:r w:rsidRPr="00D224E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5180" cy="1153441"/>
                                  <wp:effectExtent l="0" t="0" r="0" b="8890"/>
                                  <wp:docPr id="5" name="Billede 5" descr="https://encrypted-tbn0.gstatic.com/images?q=tbn%3AANd9GcT-ScfejEK0durr1GkA3epcCI1suMlUqTIRBsCWeGZ9m0U_M32W3G6DEW109CI&amp;usqp=C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%3AANd9GcT-ScfejEK0durr1GkA3epcCI1suMlUqTIRBsCWeGZ9m0U_M32W3G6DEW109CI&amp;usqp=C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180" cy="1153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397.3pt;margin-top:5.4pt;width:79pt;height:1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" filled="f" stroked="f" strokeweight="1.25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:rsidR="00672C00" w:rsidRDefault="00D224EA">
                      <w:pPr>
                        <w:spacing w:after="0"/>
                        <w:textDirection w:val="btLr"/>
                      </w:pPr>
                      <w:r w:rsidRPr="00D224EA">
                        <w:drawing>
                          <wp:inline distT="0" distB="0" distL="0" distR="0">
                            <wp:extent cx="805180" cy="1153441"/>
                            <wp:effectExtent l="0" t="0" r="0" b="8890"/>
                            <wp:docPr id="5" name="Billede 5" descr="https://encrypted-tbn0.gstatic.com/images?q=tbn%3AANd9GcT-ScfejEK0durr1GkA3epcCI1suMlUqTIRBsCWeGZ9m0U_M32W3G6DEW109CI&amp;usqp=C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%3AANd9GcT-ScfejEK0durr1GkA3epcCI1suMlUqTIRBsCWeGZ9m0U_M32W3G6DEW109CI&amp;usqp=C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180" cy="1153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672C00">
        <w:trPr>
          <w:trHeight w:val="200"/>
        </w:trPr>
        <w:tc>
          <w:tcPr>
            <w:tcW w:w="1555" w:type="dxa"/>
          </w:tcPr>
          <w:p w:rsidR="00672C00" w:rsidRDefault="00C458E8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Titel: </w:t>
            </w:r>
          </w:p>
        </w:tc>
        <w:tc>
          <w:tcPr>
            <w:tcW w:w="5811" w:type="dxa"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62" w:type="dxa"/>
            <w:vMerge w:val="restart"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72C00">
        <w:trPr>
          <w:trHeight w:val="200"/>
        </w:trPr>
        <w:tc>
          <w:tcPr>
            <w:tcW w:w="1555" w:type="dxa"/>
          </w:tcPr>
          <w:p w:rsidR="00672C00" w:rsidRDefault="00C4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Tema:</w:t>
            </w:r>
          </w:p>
        </w:tc>
        <w:tc>
          <w:tcPr>
            <w:tcW w:w="5811" w:type="dxa"/>
          </w:tcPr>
          <w:p w:rsidR="00672C00" w:rsidRDefault="00D2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Fantasi, søskende, spænding, mysterie</w:t>
            </w:r>
          </w:p>
        </w:tc>
        <w:tc>
          <w:tcPr>
            <w:tcW w:w="2262" w:type="dxa"/>
            <w:vMerge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72C00">
        <w:trPr>
          <w:trHeight w:val="200"/>
        </w:trPr>
        <w:tc>
          <w:tcPr>
            <w:tcW w:w="1555" w:type="dxa"/>
          </w:tcPr>
          <w:p w:rsidR="00672C00" w:rsidRDefault="00C458E8" w:rsidP="00BD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Fag:  </w:t>
            </w:r>
          </w:p>
        </w:tc>
        <w:tc>
          <w:tcPr>
            <w:tcW w:w="5811" w:type="dxa"/>
          </w:tcPr>
          <w:p w:rsidR="00672C00" w:rsidRDefault="00BD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Dansk</w:t>
            </w:r>
          </w:p>
        </w:tc>
        <w:tc>
          <w:tcPr>
            <w:tcW w:w="2262" w:type="dxa"/>
            <w:vMerge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72C00">
        <w:trPr>
          <w:trHeight w:val="200"/>
        </w:trPr>
        <w:tc>
          <w:tcPr>
            <w:tcW w:w="1555" w:type="dxa"/>
          </w:tcPr>
          <w:p w:rsidR="00672C00" w:rsidRDefault="00C458E8" w:rsidP="00BD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Målgruppe:</w:t>
            </w:r>
            <w:r w:rsidR="00BD2E57">
              <w:rPr>
                <w:color w:val="000000"/>
              </w:rPr>
              <w:t xml:space="preserve"> </w:t>
            </w:r>
          </w:p>
        </w:tc>
        <w:tc>
          <w:tcPr>
            <w:tcW w:w="5811" w:type="dxa"/>
          </w:tcPr>
          <w:p w:rsidR="00672C00" w:rsidRDefault="00D2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3.-5</w:t>
            </w:r>
            <w:r w:rsidR="00BD2E57">
              <w:rPr>
                <w:color w:val="000000"/>
              </w:rPr>
              <w:t>. kl.</w:t>
            </w:r>
          </w:p>
        </w:tc>
        <w:tc>
          <w:tcPr>
            <w:tcW w:w="2262" w:type="dxa"/>
            <w:vMerge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72C00">
        <w:tc>
          <w:tcPr>
            <w:tcW w:w="1555" w:type="dxa"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72C00">
        <w:trPr>
          <w:trHeight w:val="10040"/>
        </w:trPr>
        <w:tc>
          <w:tcPr>
            <w:tcW w:w="1555" w:type="dxa"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:rsidR="00672C00" w:rsidRPr="003902F1" w:rsidRDefault="00D224EA">
            <w:r>
              <w:t>Roman af Liva Skogemann, Jensen &amp; Dalgaard 2019</w:t>
            </w:r>
          </w:p>
          <w:p w:rsidR="00D224EA" w:rsidRDefault="00D224EA">
            <w:r>
              <w:t>Handler om de to søskende Lisa og Sandra der er bedste venner. De leger i en nærliggende mose</w:t>
            </w:r>
            <w:r w:rsidR="009E232B">
              <w:t>,</w:t>
            </w:r>
            <w:r>
              <w:t xml:space="preserve"> hvor de finder en gammel gravsten med navnet Petruska Weingarten. Sandra har en livlig fantasi, og er ikke bange for spøgelser,</w:t>
            </w:r>
            <w:r w:rsidR="009E232B">
              <w:t xml:space="preserve"> - men det burde hun måske være?</w:t>
            </w:r>
            <w:r>
              <w:t xml:space="preserve"> De sætter sig for</w:t>
            </w:r>
            <w:r w:rsidR="009E232B">
              <w:t>,</w:t>
            </w:r>
            <w:r>
              <w:t xml:space="preserve"> at finde ud af hvem Petruska var</w:t>
            </w:r>
            <w:r w:rsidR="009E232B">
              <w:t>,</w:t>
            </w:r>
            <w:r>
              <w:t xml:space="preserve"> og undervejs digter Sandra en historie om hvem hun var. Sandra bliver syg med sin astma</w:t>
            </w:r>
            <w:r w:rsidR="009E232B">
              <w:t>,</w:t>
            </w:r>
            <w:r>
              <w:t xml:space="preserve"> og begge piger tror det er en forbandelse. Da Sandra bliver indlagt, må Lisa opklare mysteriet om hvem Petruska var for derved at hæve forbandelsen.</w:t>
            </w:r>
            <w:r>
              <w:br/>
            </w:r>
            <w:r w:rsidR="00F03AC1">
              <w:t xml:space="preserve">Bogen kan læses selvstændigt i 4.-5.kl. Man kan også vælge at læse bogen højt for eleverne, så kan 3.kl. være med i målgruppen. </w:t>
            </w:r>
          </w:p>
          <w:p w:rsidR="00D224EA" w:rsidRDefault="00D224EA"/>
          <w:p w:rsidR="00672C00" w:rsidRPr="003902F1" w:rsidRDefault="003902F1">
            <w:r w:rsidRPr="003902F1">
              <w:t xml:space="preserve">Den pædagogiske vejledning er et idékatalog til læreren, hvor der kan plukkes i de forskellige opgaver. </w:t>
            </w:r>
            <w:r>
              <w:br/>
            </w:r>
            <w:r w:rsidRPr="003902F1">
              <w:t>Der arbejdes med før, under og efter læsningen af romanen</w:t>
            </w:r>
            <w:r w:rsidR="008268D5">
              <w:t>.</w:t>
            </w:r>
            <w:r w:rsidR="001E39BA">
              <w:br/>
              <w:t>Der er endvidere</w:t>
            </w:r>
            <w:r>
              <w:t xml:space="preserve"> forslag til</w:t>
            </w:r>
            <w:r w:rsidR="001E39BA">
              <w:t xml:space="preserve"> </w:t>
            </w:r>
            <w:r>
              <w:t>supplerende opgaver</w:t>
            </w:r>
          </w:p>
          <w:p w:rsidR="00672C00" w:rsidRDefault="00672C00"/>
          <w:p w:rsidR="00672C00" w:rsidRDefault="00C458E8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:rsidR="001E39BA" w:rsidRDefault="00F03AC1" w:rsidP="001E39BA">
            <w:r>
              <w:t>kompetencemålet efter 4.kl:</w:t>
            </w:r>
            <w:r w:rsidR="001E39BA">
              <w:t xml:space="preserve"> Fortolkning:</w:t>
            </w:r>
          </w:p>
          <w:p w:rsidR="001E39BA" w:rsidRDefault="001E39BA" w:rsidP="001E39BA">
            <w:pPr>
              <w:rPr>
                <w:i/>
              </w:rPr>
            </w:pPr>
            <w:r w:rsidRPr="006601E4">
              <w:rPr>
                <w:i/>
              </w:rPr>
              <w:t>Eleven kan forholde sig til velkendte temaer i eget og andres liv gennem undersøgelse af litteratur og andre æstetiske tekster</w:t>
            </w:r>
          </w:p>
          <w:p w:rsidR="00F03AC1" w:rsidRDefault="00F03AC1" w:rsidP="001E39BA">
            <w:pPr>
              <w:rPr>
                <w:i/>
              </w:rPr>
            </w:pPr>
          </w:p>
          <w:p w:rsidR="00F03AC1" w:rsidRDefault="00F03AC1" w:rsidP="001E39BA">
            <w:r>
              <w:t>Færdigheds- og vidensmålene efter 4.kl.</w:t>
            </w:r>
          </w:p>
          <w:p w:rsidR="00F03AC1" w:rsidRDefault="00F03AC1" w:rsidP="001E39BA">
            <w:r>
              <w:t xml:space="preserve">Eleven kan undersøge personers motiver, konflikter og handlinger. </w:t>
            </w:r>
          </w:p>
          <w:p w:rsidR="001E39BA" w:rsidRPr="006601E4" w:rsidRDefault="00F03AC1" w:rsidP="001E39BA">
            <w:pPr>
              <w:rPr>
                <w:i/>
              </w:rPr>
            </w:pPr>
            <w:r>
              <w:t>Eleven har viden om personkarakteristik</w:t>
            </w:r>
            <w:r>
              <w:br/>
              <w:t>Eleven har viden om metoder til omskabende arbejde</w:t>
            </w:r>
          </w:p>
          <w:p w:rsidR="001E39BA" w:rsidRDefault="001E39BA">
            <w:pPr>
              <w:rPr>
                <w:b/>
                <w:color w:val="1D266B"/>
                <w:sz w:val="32"/>
                <w:szCs w:val="32"/>
              </w:rPr>
            </w:pPr>
          </w:p>
          <w:p w:rsidR="00672C00" w:rsidRDefault="00C458E8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:rsidR="001E39BA" w:rsidRDefault="00BD3225" w:rsidP="001E39BA">
            <w:r>
              <w:t xml:space="preserve">Følgende opgaver er </w:t>
            </w:r>
            <w:r w:rsidR="001E39BA">
              <w:t>tænkt som et idékatalog man kan plukke i til arbejdet med bogen i klassen.</w:t>
            </w:r>
            <w:r w:rsidR="0084362F">
              <w:t xml:space="preserve"> </w:t>
            </w:r>
            <w:r w:rsidR="0084362F">
              <w:br/>
              <w:t>Spørgsmålene til de enkelte kapitler kan fx bruges til klassesamtale om bogen</w:t>
            </w:r>
          </w:p>
          <w:p w:rsidR="001E39BA" w:rsidRDefault="001E39BA" w:rsidP="001E39BA"/>
          <w:p w:rsidR="001E39BA" w:rsidRPr="00853F21" w:rsidRDefault="001E39BA" w:rsidP="001E39BA">
            <w:pPr>
              <w:rPr>
                <w:b/>
              </w:rPr>
            </w:pPr>
            <w:r w:rsidRPr="00853F21">
              <w:rPr>
                <w:b/>
              </w:rPr>
              <w:t>Før du læser</w:t>
            </w:r>
          </w:p>
          <w:p w:rsidR="00BD3225" w:rsidRDefault="001E39BA" w:rsidP="001E39BA">
            <w:r>
              <w:t>Kig på bogens</w:t>
            </w:r>
            <w:r w:rsidR="008477B4">
              <w:t xml:space="preserve"> forside og titel</w:t>
            </w:r>
            <w:r>
              <w:t>.</w:t>
            </w:r>
            <w:r>
              <w:br/>
              <w:t>Hvad tror du bogen handler om?</w:t>
            </w:r>
            <w:r>
              <w:br/>
              <w:t xml:space="preserve">Læs bagside teksten. Bliver du mere klar på, hvad bogen handler om? </w:t>
            </w:r>
            <w:r>
              <w:br/>
            </w:r>
          </w:p>
          <w:p w:rsidR="001E39BA" w:rsidRDefault="001E39BA" w:rsidP="001E39BA">
            <w:r>
              <w:t>Skriv 5-10 linjer om hvad du tænker om handlingen</w:t>
            </w:r>
          </w:p>
          <w:p w:rsidR="001E39BA" w:rsidRDefault="001E39BA" w:rsidP="001E39BA">
            <w:r>
              <w:t>Diskuter i små grupper, hvad I tror, at bogen handler om</w:t>
            </w:r>
            <w:r>
              <w:br/>
            </w:r>
          </w:p>
          <w:p w:rsidR="001E39BA" w:rsidRDefault="001E39BA" w:rsidP="001E39BA">
            <w:pPr>
              <w:rPr>
                <w:b/>
              </w:rPr>
            </w:pPr>
            <w:r w:rsidRPr="00853F21">
              <w:rPr>
                <w:b/>
              </w:rPr>
              <w:t>Mens du læser</w:t>
            </w:r>
          </w:p>
          <w:p w:rsidR="009E232B" w:rsidRDefault="009E232B" w:rsidP="001E39BA">
            <w:pPr>
              <w:rPr>
                <w:b/>
              </w:rPr>
            </w:pPr>
          </w:p>
          <w:p w:rsidR="001E39BA" w:rsidRDefault="0084362F" w:rsidP="001E39BA">
            <w:r>
              <w:t>Undervejs i historien digter Sandra nogle ting om Petruska Weingarten. Tag notaer af det undervejs.</w:t>
            </w:r>
          </w:p>
          <w:p w:rsidR="0084362F" w:rsidRPr="00853F21" w:rsidRDefault="0084362F" w:rsidP="001E39BA">
            <w:pPr>
              <w:rPr>
                <w:b/>
              </w:rPr>
            </w:pPr>
          </w:p>
          <w:p w:rsidR="001E39BA" w:rsidRDefault="0084362F" w:rsidP="001E39BA">
            <w:r>
              <w:t>Første kapitel</w:t>
            </w:r>
            <w:r w:rsidR="001E39BA">
              <w:br/>
            </w:r>
            <w:r>
              <w:t>Hvor leger pigerne?</w:t>
            </w:r>
          </w:p>
          <w:p w:rsidR="0084362F" w:rsidRDefault="0084362F" w:rsidP="001E39BA">
            <w:r>
              <w:t>Hvem er Petruska Weingarten?</w:t>
            </w:r>
          </w:p>
          <w:p w:rsidR="001E39BA" w:rsidRDefault="001E39BA" w:rsidP="001E39BA"/>
          <w:p w:rsidR="00C07CDD" w:rsidRDefault="0084362F" w:rsidP="001E39BA">
            <w:r>
              <w:t>Andet kapitel</w:t>
            </w:r>
            <w:r>
              <w:br/>
              <w:t>Hvorfor bliver Lisa og Sandra kaldt søstrene Grønøje?</w:t>
            </w:r>
            <w:r>
              <w:br/>
              <w:t xml:space="preserve">Hvem er </w:t>
            </w:r>
            <w:r w:rsidR="00C07CDD">
              <w:t>Henry og Grethe?</w:t>
            </w:r>
          </w:p>
          <w:p w:rsidR="0084362F" w:rsidRDefault="00C07CDD" w:rsidP="001E39BA">
            <w:r>
              <w:t xml:space="preserve">Hvem er </w:t>
            </w:r>
            <w:r w:rsidR="0084362F">
              <w:t>Sofie?</w:t>
            </w:r>
            <w:r w:rsidR="0084362F">
              <w:br/>
              <w:t>Pigerne får at vide</w:t>
            </w:r>
            <w:r w:rsidR="009E232B">
              <w:t>,</w:t>
            </w:r>
            <w:r w:rsidR="0084362F">
              <w:t xml:space="preserve"> at de ikke længere må lege i mosten. Hvorfor?</w:t>
            </w:r>
          </w:p>
          <w:p w:rsidR="001E39BA" w:rsidRDefault="001E39BA" w:rsidP="001E39BA"/>
          <w:p w:rsidR="008477B4" w:rsidRDefault="008477B4" w:rsidP="001E39BA">
            <w:r>
              <w:t>Tredje kapitel</w:t>
            </w:r>
            <w:r>
              <w:br/>
              <w:t>Hvorfor er Lisa og Sofie uvenner?</w:t>
            </w:r>
            <w:r>
              <w:br/>
            </w:r>
          </w:p>
          <w:p w:rsidR="008477B4" w:rsidRDefault="008477B4" w:rsidP="001E39BA">
            <w:pPr>
              <w:rPr>
                <w:i/>
              </w:rPr>
            </w:pPr>
            <w:r>
              <w:t>Fjerde kapitel</w:t>
            </w:r>
            <w:r>
              <w:br/>
              <w:t>Sandra beder om et tegn på at Petruska er i mosen. Beskriv hvad der sker.</w:t>
            </w:r>
            <w:r>
              <w:br/>
            </w:r>
            <w:r>
              <w:br/>
              <w:t>Femte kapitel</w:t>
            </w:r>
            <w:r>
              <w:br/>
              <w:t>Kapitels intro er: ”</w:t>
            </w:r>
            <w:r>
              <w:rPr>
                <w:i/>
              </w:rPr>
              <w:t>Hvor jeg lærer, at der findes mange mysterier i verden og at man skal passe på med at indgå pagter. Især med de døde”.</w:t>
            </w:r>
          </w:p>
          <w:p w:rsidR="008477B4" w:rsidRDefault="008477B4" w:rsidP="001E39BA">
            <w:r>
              <w:t>Når du har læst eller hørt kapitlet så prøv at forklare hvad det betyder.</w:t>
            </w:r>
            <w:r>
              <w:br/>
            </w:r>
          </w:p>
          <w:p w:rsidR="008477B4" w:rsidRDefault="008477B4" w:rsidP="001E39BA">
            <w:r>
              <w:t>Sjette kapitel</w:t>
            </w:r>
            <w:r>
              <w:br/>
              <w:t>Hvad er det for en forbandelse som Sandra tror</w:t>
            </w:r>
            <w:r w:rsidR="00C07CDD">
              <w:t>,</w:t>
            </w:r>
            <w:r>
              <w:t xml:space="preserve"> der hviler over hende?</w:t>
            </w:r>
            <w:r>
              <w:br/>
            </w:r>
          </w:p>
          <w:p w:rsidR="008477B4" w:rsidRDefault="008477B4" w:rsidP="001E39BA">
            <w:r>
              <w:t>Syvende kapitel</w:t>
            </w:r>
            <w:r>
              <w:br/>
            </w:r>
            <w:r w:rsidR="001F1E5F">
              <w:t>Her sker et vendepunkt i mysteriet. Hvilket?</w:t>
            </w:r>
            <w:r w:rsidR="001F1E5F">
              <w:br/>
            </w:r>
          </w:p>
          <w:p w:rsidR="001F1E5F" w:rsidRDefault="001F1E5F" w:rsidP="001E39BA">
            <w:r>
              <w:t>Ottende kapitel</w:t>
            </w:r>
            <w:r>
              <w:br/>
              <w:t>Hvad skal Lisa på kirkegården?</w:t>
            </w:r>
          </w:p>
          <w:p w:rsidR="001F1E5F" w:rsidRDefault="001F1E5F" w:rsidP="001E39BA"/>
          <w:p w:rsidR="001F1E5F" w:rsidRDefault="001F1E5F" w:rsidP="001E39BA">
            <w:r>
              <w:t>Niende kapitel</w:t>
            </w:r>
            <w:r>
              <w:br/>
              <w:t>Hvem møder Lisa i dette kapitel?</w:t>
            </w:r>
            <w:r>
              <w:br/>
              <w:t>Hvordan finder hu</w:t>
            </w:r>
            <w:r w:rsidR="008268D5">
              <w:t>n</w:t>
            </w:r>
            <w:r>
              <w:t xml:space="preserve">  frem til hende?</w:t>
            </w:r>
          </w:p>
          <w:p w:rsidR="001F1E5F" w:rsidRDefault="001F1E5F" w:rsidP="001E39BA"/>
          <w:p w:rsidR="001F1E5F" w:rsidRDefault="001F1E5F" w:rsidP="001E39BA">
            <w:r>
              <w:t>Tiende kapitel</w:t>
            </w:r>
            <w:r>
              <w:br/>
              <w:t>Hvordan kan Lisa hæve forbandelsen, så Sandra kan blive rask?</w:t>
            </w:r>
          </w:p>
          <w:p w:rsidR="001F1E5F" w:rsidRDefault="001F1E5F" w:rsidP="001E39BA"/>
          <w:p w:rsidR="001F1E5F" w:rsidRDefault="001F1E5F" w:rsidP="001E39BA">
            <w:r>
              <w:t>Ellevte kapitel</w:t>
            </w:r>
            <w:r>
              <w:br/>
              <w:t>Hvad skal der ske med gravstenen?</w:t>
            </w:r>
            <w:r>
              <w:br/>
              <w:t>Hvordan går det med Sandra?</w:t>
            </w:r>
          </w:p>
          <w:p w:rsidR="001F1E5F" w:rsidRDefault="001F1E5F" w:rsidP="001E39BA"/>
          <w:p w:rsidR="001F1E5F" w:rsidRDefault="001F1E5F" w:rsidP="001E39BA">
            <w:r>
              <w:t>Tolvte kapitel</w:t>
            </w:r>
          </w:p>
          <w:p w:rsidR="001F1E5F" w:rsidRDefault="008268D5" w:rsidP="001E39BA">
            <w:r>
              <w:t>Pigerne får en gave af Edith. Hvilken?</w:t>
            </w:r>
            <w:r>
              <w:br/>
            </w:r>
            <w:r w:rsidR="001F1E5F">
              <w:t>Hvorfor hedder bogen Petruska Weingartens halve hjerte?</w:t>
            </w:r>
            <w:r w:rsidR="001F1E5F">
              <w:br/>
            </w:r>
          </w:p>
          <w:p w:rsidR="001E39BA" w:rsidRDefault="001E39BA" w:rsidP="001E39BA"/>
          <w:p w:rsidR="001E39BA" w:rsidRDefault="001E39BA" w:rsidP="001E39BA">
            <w:pPr>
              <w:rPr>
                <w:b/>
              </w:rPr>
            </w:pPr>
            <w:r>
              <w:br/>
            </w:r>
            <w:r w:rsidRPr="001E39BA">
              <w:rPr>
                <w:b/>
              </w:rPr>
              <w:t>Efter læsningen af bogen.</w:t>
            </w:r>
          </w:p>
          <w:p w:rsidR="008268D5" w:rsidRPr="001E39BA" w:rsidRDefault="008268D5" w:rsidP="001E39BA">
            <w:pPr>
              <w:rPr>
                <w:b/>
              </w:rPr>
            </w:pPr>
          </w:p>
          <w:p w:rsidR="001E39BA" w:rsidRDefault="001E39BA" w:rsidP="001E39BA">
            <w:r>
              <w:t>Lav et kort resumé af handlingen</w:t>
            </w:r>
          </w:p>
          <w:p w:rsidR="008268D5" w:rsidRDefault="008268D5" w:rsidP="001E39BA"/>
          <w:p w:rsidR="001E39BA" w:rsidRDefault="008268D5" w:rsidP="001E39BA">
            <w:r>
              <w:t>Hvordan er hovepersonerne</w:t>
            </w:r>
            <w:r w:rsidR="001E39BA">
              <w:t>? La</w:t>
            </w:r>
            <w:r>
              <w:t>v en personkarakteristik af dem. Prøv at beskrive både deres ydre og indre personkarakteristik</w:t>
            </w:r>
          </w:p>
          <w:p w:rsidR="008268D5" w:rsidRDefault="008268D5" w:rsidP="001E39BA"/>
          <w:p w:rsidR="008268D5" w:rsidRDefault="008268D5" w:rsidP="001E39BA">
            <w:r>
              <w:t>Hvilke personer er der ellers i historien?</w:t>
            </w:r>
          </w:p>
          <w:p w:rsidR="008268D5" w:rsidRDefault="008268D5" w:rsidP="001E39BA"/>
          <w:p w:rsidR="008268D5" w:rsidRDefault="001E39BA" w:rsidP="008268D5">
            <w:r>
              <w:t>Hvilke temaer er der i bogen?</w:t>
            </w:r>
          </w:p>
          <w:p w:rsidR="008268D5" w:rsidRDefault="008268D5" w:rsidP="008268D5"/>
          <w:p w:rsidR="008268D5" w:rsidRDefault="008268D5" w:rsidP="008268D5">
            <w:r>
              <w:t>Undervejs digtede Sandra en hel masse om Petruska og hendes familie. Prøv at kigge dine notater igennem. Skriv en sammenhængende fortælling om Petruska ud fra det Sandra fortalte.</w:t>
            </w:r>
          </w:p>
          <w:p w:rsidR="00C07CDD" w:rsidRDefault="001E39BA" w:rsidP="008268D5">
            <w:r>
              <w:br/>
            </w:r>
            <w:r w:rsidR="00C07CDD">
              <w:t>Forklar hvad disse ord betyder. Du kan få hjælp på de sider der henvises til:</w:t>
            </w:r>
          </w:p>
          <w:p w:rsidR="00C07CDD" w:rsidRDefault="00C07CDD" w:rsidP="008268D5">
            <w:r>
              <w:t>Armod (s.17)</w:t>
            </w:r>
            <w:r>
              <w:br/>
              <w:t>Lensgreve (s.28)</w:t>
            </w:r>
          </w:p>
          <w:p w:rsidR="00285C6B" w:rsidRDefault="00285C6B" w:rsidP="008268D5">
            <w:r>
              <w:t>Gravskænding (s.57 og74)</w:t>
            </w:r>
          </w:p>
          <w:p w:rsidR="00C07CDD" w:rsidRDefault="00C07CDD" w:rsidP="008268D5"/>
          <w:p w:rsidR="00672C00" w:rsidRDefault="00BD3225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forslag</w:t>
            </w:r>
          </w:p>
          <w:p w:rsidR="001E39BA" w:rsidRPr="001E39BA" w:rsidRDefault="001E39BA" w:rsidP="001E39BA"/>
          <w:p w:rsidR="00672C00" w:rsidRDefault="008268D5" w:rsidP="008268D5">
            <w:r>
              <w:t>Skriv videre på pigernes historie. Lav et mysterium som de skal opklare.</w:t>
            </w:r>
            <w:r w:rsidR="00285C6B">
              <w:br/>
              <w:t>Lav et billede af historien</w:t>
            </w:r>
          </w:p>
          <w:p w:rsidR="00285C6B" w:rsidRDefault="00285C6B" w:rsidP="008268D5"/>
          <w:p w:rsidR="00EE08FF" w:rsidRDefault="00EE08FF" w:rsidP="008268D5">
            <w:r>
              <w:t>Hvis der arbejdes med krimi genren er følgende film en mulighed:</w:t>
            </w:r>
          </w:p>
          <w:p w:rsidR="00EE08FF" w:rsidRDefault="00EE08FF" w:rsidP="008268D5">
            <w:r>
              <w:t xml:space="preserve">Guldregn (96min)  </w:t>
            </w:r>
            <w:hyperlink r:id="rId8" w:history="1">
              <w:r w:rsidRPr="00FB00E6">
                <w:rPr>
                  <w:rStyle w:val="Hyperlink"/>
                </w:rPr>
                <w:t>http://via.mitcfu.dk/CFUFILM1071415</w:t>
              </w:r>
            </w:hyperlink>
          </w:p>
          <w:p w:rsidR="00EE08FF" w:rsidRDefault="00EE08FF" w:rsidP="008268D5"/>
          <w:p w:rsidR="00EE08FF" w:rsidRDefault="00EE08FF" w:rsidP="008268D5">
            <w:r>
              <w:t xml:space="preserve">Krokodillebanden (93 min.) </w:t>
            </w:r>
            <w:hyperlink r:id="rId9" w:history="1">
              <w:r w:rsidRPr="00FB00E6">
                <w:rPr>
                  <w:rStyle w:val="Hyperlink"/>
                </w:rPr>
                <w:t>http://via.mitcfu.dk/CFUFILM1073845</w:t>
              </w:r>
            </w:hyperlink>
          </w:p>
          <w:p w:rsidR="00EE08FF" w:rsidRDefault="00EE08FF" w:rsidP="008268D5"/>
          <w:p w:rsidR="00EE08FF" w:rsidRDefault="00EE08FF" w:rsidP="008268D5">
            <w:r>
              <w:t>Der er også lavet en tv-serie om Guldregn (hvert afsnit varer mellem 24-27 minutter)</w:t>
            </w:r>
          </w:p>
          <w:p w:rsidR="00285C6B" w:rsidRDefault="00285C6B" w:rsidP="008268D5">
            <w:r>
              <w:t xml:space="preserve">Guldregn 1 </w:t>
            </w:r>
            <w:hyperlink r:id="rId10" w:history="1">
              <w:r w:rsidRPr="00FB00E6">
                <w:rPr>
                  <w:rStyle w:val="Hyperlink"/>
                </w:rPr>
                <w:t>http://via.mitcfu.dk/TV0000015480</w:t>
              </w:r>
            </w:hyperlink>
          </w:p>
          <w:p w:rsidR="00285C6B" w:rsidRDefault="00EE08FF" w:rsidP="008268D5">
            <w:r>
              <w:t xml:space="preserve">Del </w:t>
            </w:r>
            <w:r w:rsidR="00285C6B">
              <w:t xml:space="preserve">2 </w:t>
            </w:r>
            <w:hyperlink r:id="rId11" w:history="1">
              <w:r w:rsidRPr="00FB00E6">
                <w:rPr>
                  <w:rStyle w:val="Hyperlink"/>
                </w:rPr>
                <w:t>http://via.mitcfu.dk/TV0000015482</w:t>
              </w:r>
            </w:hyperlink>
          </w:p>
          <w:p w:rsidR="00EE08FF" w:rsidRDefault="00EE08FF" w:rsidP="008268D5">
            <w:r>
              <w:t xml:space="preserve">Del 3 </w:t>
            </w:r>
            <w:hyperlink r:id="rId12" w:history="1">
              <w:r w:rsidRPr="00FB00E6">
                <w:rPr>
                  <w:rStyle w:val="Hyperlink"/>
                </w:rPr>
                <w:t>http://via.mitcfu.dk/TV0000015483</w:t>
              </w:r>
            </w:hyperlink>
          </w:p>
          <w:p w:rsidR="00EE08FF" w:rsidRDefault="00EE08FF" w:rsidP="008268D5">
            <w:r>
              <w:t xml:space="preserve">Del 4 </w:t>
            </w:r>
            <w:hyperlink r:id="rId13" w:history="1">
              <w:r w:rsidRPr="00FB00E6">
                <w:rPr>
                  <w:rStyle w:val="Hyperlink"/>
                </w:rPr>
                <w:t>http://via.mitcfu.dk/TV0000015484</w:t>
              </w:r>
            </w:hyperlink>
          </w:p>
          <w:p w:rsidR="00EE08FF" w:rsidRDefault="00EE08FF" w:rsidP="008268D5">
            <w:r>
              <w:t xml:space="preserve">Del 5 </w:t>
            </w:r>
            <w:hyperlink r:id="rId14" w:history="1">
              <w:r w:rsidRPr="00FB00E6">
                <w:rPr>
                  <w:rStyle w:val="Hyperlink"/>
                </w:rPr>
                <w:t>http://via.mitcfu.dk/TV0000015485</w:t>
              </w:r>
            </w:hyperlink>
          </w:p>
          <w:p w:rsidR="00EE08FF" w:rsidRDefault="00EE08FF" w:rsidP="008268D5">
            <w:r>
              <w:t xml:space="preserve">Del 6 </w:t>
            </w:r>
            <w:hyperlink r:id="rId15" w:history="1">
              <w:r w:rsidRPr="00FB00E6">
                <w:rPr>
                  <w:rStyle w:val="Hyperlink"/>
                </w:rPr>
                <w:t>http://via.mitcfu.dk/TV0000015486</w:t>
              </w:r>
            </w:hyperlink>
          </w:p>
          <w:p w:rsidR="00EE08FF" w:rsidRDefault="00EE08FF" w:rsidP="008268D5">
            <w:r>
              <w:t xml:space="preserve">Del 7 </w:t>
            </w:r>
            <w:hyperlink r:id="rId16" w:history="1">
              <w:r w:rsidRPr="00FB00E6">
                <w:rPr>
                  <w:rStyle w:val="Hyperlink"/>
                </w:rPr>
                <w:t>http://via.mitcfu.dk/TV0000015487</w:t>
              </w:r>
            </w:hyperlink>
          </w:p>
          <w:p w:rsidR="00EE08FF" w:rsidRDefault="00EE08FF" w:rsidP="008268D5"/>
          <w:p w:rsidR="00EE08FF" w:rsidRDefault="00EE08FF" w:rsidP="008268D5"/>
          <w:p w:rsidR="00EE08FF" w:rsidRDefault="00EE08FF" w:rsidP="008268D5"/>
          <w:p w:rsidR="00285C6B" w:rsidRDefault="00285C6B" w:rsidP="008268D5"/>
        </w:tc>
      </w:tr>
    </w:tbl>
    <w:p w:rsidR="00672C00" w:rsidRDefault="00672C00"/>
    <w:sectPr w:rsidR="00672C00">
      <w:headerReference w:type="default" r:id="rId17"/>
      <w:footerReference w:type="default" r:id="rId18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F3" w:rsidRDefault="001A02F3">
      <w:pPr>
        <w:spacing w:after="0"/>
      </w:pPr>
      <w:r>
        <w:separator/>
      </w:r>
    </w:p>
  </w:endnote>
  <w:endnote w:type="continuationSeparator" w:id="0">
    <w:p w:rsidR="001A02F3" w:rsidRDefault="001A02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00" w:rsidRDefault="001A02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>
        <v:rect id="_x0000_i1026" style="width:0;height:1.5pt" o:hralign="center" o:hrstd="t" o:hr="t" fillcolor="#a0a0a0" stroked="f"/>
      </w:pict>
    </w:r>
  </w:p>
  <w:p w:rsidR="00672C00" w:rsidRDefault="00BD2E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>Udarbejdet af Pædagogisk konsulent Helle Rahbek, VIA CFU</w:t>
    </w:r>
    <w:r w:rsidR="00C458E8">
      <w:rPr>
        <w:color w:val="000000"/>
        <w:sz w:val="18"/>
        <w:szCs w:val="18"/>
      </w:rPr>
      <w:t xml:space="preserve">, </w:t>
    </w:r>
    <w:r w:rsidR="00F03AC1">
      <w:rPr>
        <w:color w:val="000000"/>
        <w:sz w:val="18"/>
        <w:szCs w:val="18"/>
      </w:rPr>
      <w:t>Maj 2020</w:t>
    </w:r>
  </w:p>
  <w:p w:rsidR="00672C00" w:rsidRDefault="00F03A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color w:val="000000"/>
        <w:sz w:val="18"/>
        <w:szCs w:val="18"/>
      </w:rPr>
      <w:t>Petruska Weingartens halve hjerte</w:t>
    </w:r>
    <w:r w:rsidR="00C458E8">
      <w:tab/>
    </w:r>
    <w:r w:rsidR="00C458E8">
      <w:tab/>
    </w:r>
    <w:r w:rsidR="00C458E8">
      <w:rPr>
        <w:noProof/>
      </w:rPr>
      <w:drawing>
        <wp:inline distT="114300" distB="114300" distL="114300" distR="114300">
          <wp:extent cx="533400" cy="1047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2C00" w:rsidRDefault="00C458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BB48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F3" w:rsidRDefault="001A02F3">
      <w:pPr>
        <w:spacing w:after="0"/>
      </w:pPr>
      <w:r>
        <w:separator/>
      </w:r>
    </w:p>
  </w:footnote>
  <w:footnote w:type="continuationSeparator" w:id="0">
    <w:p w:rsidR="001A02F3" w:rsidRDefault="001A02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00" w:rsidRPr="009E232B" w:rsidRDefault="00C458E8" w:rsidP="009E232B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720" w:right="5"/>
      <w:jc w:val="right"/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BD2E57">
      <w:rPr>
        <w:color w:val="000000"/>
      </w:rPr>
      <w:t xml:space="preserve">                   </w:t>
    </w:r>
    <w:r w:rsidR="009E232B">
      <w:rPr>
        <w:color w:val="000000"/>
      </w:rPr>
      <w:t xml:space="preserve">                         </w:t>
    </w:r>
    <w:hyperlink r:id="rId1" w:history="1">
      <w:r w:rsidR="009E232B" w:rsidRPr="00FB00E6">
        <w:rPr>
          <w:rStyle w:val="Hyperlink"/>
        </w:rPr>
        <w:t>http://via.mitcfu.dk/47387841</w:t>
      </w:r>
    </w:hyperlink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2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2C00" w:rsidRDefault="001A02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0"/>
    <w:rsid w:val="001A02F3"/>
    <w:rsid w:val="001E39BA"/>
    <w:rsid w:val="001F1E5F"/>
    <w:rsid w:val="00285C6B"/>
    <w:rsid w:val="003902F1"/>
    <w:rsid w:val="005E3326"/>
    <w:rsid w:val="00672C00"/>
    <w:rsid w:val="008268D5"/>
    <w:rsid w:val="0084362F"/>
    <w:rsid w:val="008477B4"/>
    <w:rsid w:val="009E232B"/>
    <w:rsid w:val="00A04282"/>
    <w:rsid w:val="00B052FD"/>
    <w:rsid w:val="00BB480C"/>
    <w:rsid w:val="00BD2E57"/>
    <w:rsid w:val="00BD3225"/>
    <w:rsid w:val="00BE4692"/>
    <w:rsid w:val="00C07CDD"/>
    <w:rsid w:val="00C458E8"/>
    <w:rsid w:val="00C51BDD"/>
    <w:rsid w:val="00D224EA"/>
    <w:rsid w:val="00E42ACD"/>
    <w:rsid w:val="00E72B4E"/>
    <w:rsid w:val="00EE08FF"/>
    <w:rsid w:val="00EF62D9"/>
    <w:rsid w:val="00F0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73E30-A9F0-432F-A828-571E2D5D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D2E5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D2E57"/>
  </w:style>
  <w:style w:type="paragraph" w:styleId="Sidefod">
    <w:name w:val="footer"/>
    <w:basedOn w:val="Normal"/>
    <w:link w:val="SidefodTegn"/>
    <w:uiPriority w:val="99"/>
    <w:unhideWhenUsed/>
    <w:rsid w:val="00BD2E5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D2E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39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39B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85C6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E2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.mitcfu.dk/CFUFILM1071415" TargetMode="External"/><Relationship Id="rId13" Type="http://schemas.openxmlformats.org/officeDocument/2006/relationships/hyperlink" Target="http://via.mitcfu.dk/TV000001548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yperlink" Target="http://via.mitcfu.dk/TV0000015483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via.mitcfu.dk/TV000001548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ia.mitcfu.dk/TV000001548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ia.mitcfu.dk/TV0000015486" TargetMode="External"/><Relationship Id="rId10" Type="http://schemas.openxmlformats.org/officeDocument/2006/relationships/hyperlink" Target="http://via.mitcfu.dk/TV000001548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via.mitcfu.dk/CFUFILM1073845" TargetMode="External"/><Relationship Id="rId14" Type="http://schemas.openxmlformats.org/officeDocument/2006/relationships/hyperlink" Target="http://via.mitcfu.dk/TV000001548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via.mitcfu.dk/47387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Rahbek (HERA) | VIA</dc:creator>
  <cp:lastModifiedBy>Karin Abrahamsen (KAAB) | VIA</cp:lastModifiedBy>
  <cp:revision>2</cp:revision>
  <cp:lastPrinted>2019-05-02T10:03:00Z</cp:lastPrinted>
  <dcterms:created xsi:type="dcterms:W3CDTF">2020-05-01T10:37:00Z</dcterms:created>
  <dcterms:modified xsi:type="dcterms:W3CDTF">2020-05-01T10:37:00Z</dcterms:modified>
</cp:coreProperties>
</file>