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B3680" w:rsidRDefault="00A73CBC">
      <w:pPr>
        <w:spacing w:after="0"/>
      </w:pPr>
      <w:bookmarkStart w:id="0" w:name="_GoBack"/>
      <w:bookmarkEnd w:id="0"/>
      <w:r>
        <w:rPr>
          <w:noProof/>
        </w:rPr>
        <mc:AlternateContent>
          <mc:Choice Requires="wps">
            <w:drawing>
              <wp:anchor distT="0" distB="0" distL="114300" distR="114300" simplePos="0" relativeHeight="251658240" behindDoc="0" locked="0" layoutInCell="1" hidden="0" allowOverlap="1" wp14:anchorId="301862E3" wp14:editId="32965D08">
                <wp:simplePos x="0" y="0"/>
                <wp:positionH relativeFrom="margin">
                  <wp:posOffset>4991100</wp:posOffset>
                </wp:positionH>
                <wp:positionV relativeFrom="paragraph">
                  <wp:posOffset>123825</wp:posOffset>
                </wp:positionV>
                <wp:extent cx="812800" cy="711200"/>
                <wp:effectExtent l="0" t="0" r="0" b="0"/>
                <wp:wrapNone/>
                <wp:docPr id="4" name="Rektangel 4"/>
                <wp:cNvGraphicFramePr/>
                <a:graphic xmlns:a="http://schemas.openxmlformats.org/drawingml/2006/main">
                  <a:graphicData uri="http://schemas.microsoft.com/office/word/2010/wordprocessingShape">
                    <wps:wsp>
                      <wps:cNvSpPr/>
                      <wps:spPr>
                        <a:xfrm>
                          <a:off x="4940129" y="3426517"/>
                          <a:ext cx="811742" cy="706967"/>
                        </a:xfrm>
                        <a:prstGeom prst="rect">
                          <a:avLst/>
                        </a:prstGeom>
                        <a:solidFill>
                          <a:schemeClr val="lt1"/>
                        </a:solidFill>
                        <a:ln>
                          <a:noFill/>
                        </a:ln>
                      </wps:spPr>
                      <wps:txbx>
                        <w:txbxContent>
                          <w:p w:rsidR="000B3680" w:rsidRDefault="00A9293D">
                            <w:pPr>
                              <w:textDirection w:val="btLr"/>
                            </w:pPr>
                            <w:r>
                              <w:rPr>
                                <w:noProof/>
                              </w:rPr>
                              <w:drawing>
                                <wp:inline distT="0" distB="0" distL="0" distR="0" wp14:anchorId="096AFFDF" wp14:editId="68E6B220">
                                  <wp:extent cx="829971" cy="561975"/>
                                  <wp:effectExtent l="0" t="0" r="8255" b="0"/>
                                  <wp:docPr id="3" name="Billede 3" descr="http://chart.apis.google.com/chart?chs=310x210&amp;cht=qr&amp;chl=http://mitcfu.dk/5246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art.apis.google.com/chart?chs=310x210&amp;cht=qr&amp;chl=http://mitcfu.dk/524644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1648" cy="563110"/>
                                          </a:xfrm>
                                          <a:prstGeom prst="rect">
                                            <a:avLst/>
                                          </a:prstGeom>
                                          <a:noFill/>
                                          <a:ln>
                                            <a:noFill/>
                                          </a:ln>
                                        </pic:spPr>
                                      </pic:pic>
                                    </a:graphicData>
                                  </a:graphic>
                                </wp:inline>
                              </w:drawing>
                            </w:r>
                          </w:p>
                        </w:txbxContent>
                      </wps:txbx>
                      <wps:bodyPr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w14:anchorId="301862E3" id="Rektangel 4" o:spid="_x0000_s1026" style="position:absolute;margin-left:393pt;margin-top:9.75pt;width:64pt;height:5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" fillcolor="white [3201]" stroked="f">
                <v:textbox inset="2.53958mm,1.2694mm,2.53958mm,1.2694mm">
                  <w:txbxContent>
                    <w:p w:rsidR="000B3680" w:rsidRDefault="00A9293D">
                      <w:pPr>
                        <w:textDirection w:val="btLr"/>
                      </w:pPr>
                      <w:r>
                        <w:rPr>
                          <w:noProof/>
                        </w:rPr>
                        <w:drawing>
                          <wp:inline distT="0" distB="0" distL="0" distR="0" wp14:anchorId="096AFFDF" wp14:editId="68E6B220">
                            <wp:extent cx="829971" cy="561975"/>
                            <wp:effectExtent l="0" t="0" r="8255" b="0"/>
                            <wp:docPr id="3" name="Billede 3" descr="http://chart.apis.google.com/chart?chs=310x210&amp;cht=qr&amp;chl=http://mitcfu.dk/5246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art.apis.google.com/chart?chs=310x210&amp;cht=qr&amp;chl=http://mitcfu.dk/524644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1648" cy="563110"/>
                                    </a:xfrm>
                                    <a:prstGeom prst="rect">
                                      <a:avLst/>
                                    </a:prstGeom>
                                    <a:noFill/>
                                    <a:ln>
                                      <a:noFill/>
                                    </a:ln>
                                  </pic:spPr>
                                </pic:pic>
                              </a:graphicData>
                            </a:graphic>
                          </wp:inline>
                        </w:drawing>
                      </w:r>
                    </w:p>
                  </w:txbxContent>
                </v:textbox>
                <w10:wrap anchorx="margin"/>
              </v:rect>
            </w:pict>
          </mc:Fallback>
        </mc:AlternateConten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55"/>
        <w:gridCol w:w="5811"/>
        <w:gridCol w:w="2262"/>
      </w:tblGrid>
      <w:tr w:rsidR="000B3680">
        <w:trPr>
          <w:trHeight w:val="200"/>
        </w:trPr>
        <w:tc>
          <w:tcPr>
            <w:tcW w:w="1555" w:type="dxa"/>
          </w:tcPr>
          <w:p w:rsidR="000B3680" w:rsidRDefault="00537395">
            <w:pPr>
              <w:pStyle w:val="Overskrift1"/>
              <w:spacing w:before="0" w:after="120"/>
              <w:outlineLvl w:val="0"/>
            </w:pPr>
            <w:r>
              <w:rPr>
                <w:rFonts w:ascii="Calibri" w:eastAsia="Calibri" w:hAnsi="Calibri" w:cs="Calibri"/>
                <w:color w:val="1D266B"/>
                <w:sz w:val="32"/>
                <w:szCs w:val="32"/>
              </w:rPr>
              <w:t>Titel</w:t>
            </w:r>
          </w:p>
        </w:tc>
        <w:tc>
          <w:tcPr>
            <w:tcW w:w="5811" w:type="dxa"/>
          </w:tcPr>
          <w:p w:rsidR="000B3680" w:rsidRPr="00537395" w:rsidRDefault="001A420C">
            <w:pPr>
              <w:rPr>
                <w:b/>
                <w:sz w:val="32"/>
                <w:szCs w:val="32"/>
              </w:rPr>
            </w:pPr>
            <w:r>
              <w:rPr>
                <w:b/>
                <w:sz w:val="32"/>
                <w:szCs w:val="32"/>
              </w:rPr>
              <w:t>Red Leaves F</w:t>
            </w:r>
            <w:r w:rsidR="00537395" w:rsidRPr="00537395">
              <w:rPr>
                <w:b/>
                <w:sz w:val="32"/>
                <w:szCs w:val="32"/>
              </w:rPr>
              <w:t>alling</w:t>
            </w:r>
          </w:p>
        </w:tc>
        <w:tc>
          <w:tcPr>
            <w:tcW w:w="2262" w:type="dxa"/>
            <w:vMerge w:val="restart"/>
          </w:tcPr>
          <w:p w:rsidR="000B3680" w:rsidRDefault="000B3680"/>
          <w:p w:rsidR="000B3680" w:rsidRDefault="000B3680"/>
          <w:p w:rsidR="000B3680" w:rsidRDefault="000B3680"/>
          <w:p w:rsidR="000B3680" w:rsidRDefault="000B3680"/>
        </w:tc>
      </w:tr>
      <w:tr w:rsidR="000B3680">
        <w:trPr>
          <w:trHeight w:val="200"/>
        </w:trPr>
        <w:tc>
          <w:tcPr>
            <w:tcW w:w="1555" w:type="dxa"/>
          </w:tcPr>
          <w:p w:rsidR="000B3680" w:rsidRDefault="00A73CBC">
            <w:r>
              <w:t>Tema:</w:t>
            </w:r>
          </w:p>
        </w:tc>
        <w:tc>
          <w:tcPr>
            <w:tcW w:w="5811" w:type="dxa"/>
          </w:tcPr>
          <w:p w:rsidR="000B3680" w:rsidRDefault="00537395">
            <w:r>
              <w:t>Børns rettigheder</w:t>
            </w:r>
          </w:p>
        </w:tc>
        <w:tc>
          <w:tcPr>
            <w:tcW w:w="2262" w:type="dxa"/>
            <w:vMerge/>
          </w:tcPr>
          <w:p w:rsidR="000B3680" w:rsidRDefault="000B3680"/>
        </w:tc>
      </w:tr>
      <w:tr w:rsidR="000B3680">
        <w:trPr>
          <w:trHeight w:val="200"/>
        </w:trPr>
        <w:tc>
          <w:tcPr>
            <w:tcW w:w="1555" w:type="dxa"/>
          </w:tcPr>
          <w:p w:rsidR="000B3680" w:rsidRDefault="00A73CBC">
            <w:r>
              <w:t>Fag:</w:t>
            </w:r>
          </w:p>
        </w:tc>
        <w:tc>
          <w:tcPr>
            <w:tcW w:w="5811" w:type="dxa"/>
          </w:tcPr>
          <w:p w:rsidR="000B3680" w:rsidRDefault="00537395" w:rsidP="00537395">
            <w:r>
              <w:t>Samfundsfag</w:t>
            </w:r>
          </w:p>
        </w:tc>
        <w:tc>
          <w:tcPr>
            <w:tcW w:w="2262" w:type="dxa"/>
            <w:vMerge/>
          </w:tcPr>
          <w:p w:rsidR="000B3680" w:rsidRDefault="000B3680"/>
        </w:tc>
      </w:tr>
      <w:tr w:rsidR="000B3680">
        <w:trPr>
          <w:trHeight w:val="200"/>
        </w:trPr>
        <w:tc>
          <w:tcPr>
            <w:tcW w:w="1555" w:type="dxa"/>
          </w:tcPr>
          <w:p w:rsidR="000B3680" w:rsidRDefault="00A73CBC">
            <w:r>
              <w:t>Målgruppe:</w:t>
            </w:r>
          </w:p>
        </w:tc>
        <w:tc>
          <w:tcPr>
            <w:tcW w:w="5811" w:type="dxa"/>
          </w:tcPr>
          <w:p w:rsidR="000B3680" w:rsidRDefault="00537395">
            <w:r>
              <w:t>9. klasse</w:t>
            </w:r>
          </w:p>
        </w:tc>
        <w:tc>
          <w:tcPr>
            <w:tcW w:w="2262" w:type="dxa"/>
            <w:vMerge/>
          </w:tcPr>
          <w:p w:rsidR="000B3680" w:rsidRDefault="000B3680"/>
        </w:tc>
      </w:tr>
      <w:tr w:rsidR="000B3680">
        <w:tc>
          <w:tcPr>
            <w:tcW w:w="1555" w:type="dxa"/>
          </w:tcPr>
          <w:p w:rsidR="000B3680" w:rsidRDefault="000B3680"/>
        </w:tc>
        <w:tc>
          <w:tcPr>
            <w:tcW w:w="5811" w:type="dxa"/>
          </w:tcPr>
          <w:p w:rsidR="000B3680" w:rsidRDefault="000B3680"/>
          <w:p w:rsidR="00537395" w:rsidRDefault="00537395"/>
          <w:p w:rsidR="00537395" w:rsidRDefault="00537395"/>
          <w:p w:rsidR="00537395" w:rsidRDefault="00537395"/>
        </w:tc>
        <w:tc>
          <w:tcPr>
            <w:tcW w:w="2262" w:type="dxa"/>
            <w:vMerge/>
          </w:tcPr>
          <w:p w:rsidR="000B3680" w:rsidRDefault="000B3680"/>
        </w:tc>
      </w:tr>
      <w:tr w:rsidR="000B3680">
        <w:trPr>
          <w:trHeight w:val="10040"/>
        </w:trPr>
        <w:tc>
          <w:tcPr>
            <w:tcW w:w="1555" w:type="dxa"/>
          </w:tcPr>
          <w:p w:rsidR="000B3680" w:rsidRDefault="000B3680">
            <w:pPr>
              <w:rPr>
                <w:sz w:val="16"/>
                <w:szCs w:val="16"/>
              </w:rPr>
            </w:pPr>
            <w:bookmarkStart w:id="1" w:name="_gjdgxs" w:colFirst="0" w:colLast="0"/>
            <w:bookmarkEnd w:id="1"/>
          </w:p>
        </w:tc>
        <w:tc>
          <w:tcPr>
            <w:tcW w:w="8073" w:type="dxa"/>
            <w:gridSpan w:val="2"/>
          </w:tcPr>
          <w:p w:rsidR="000B3680" w:rsidRPr="00AF5AB2" w:rsidRDefault="000E58B6">
            <w:pPr>
              <w:rPr>
                <w:b/>
                <w:sz w:val="32"/>
                <w:szCs w:val="32"/>
              </w:rPr>
            </w:pPr>
            <w:r>
              <w:rPr>
                <w:b/>
                <w:sz w:val="32"/>
                <w:szCs w:val="32"/>
              </w:rPr>
              <w:t>Data om læremidlet</w:t>
            </w:r>
          </w:p>
          <w:p w:rsidR="00537395" w:rsidRPr="00CB299D" w:rsidRDefault="00537395" w:rsidP="00537395">
            <w:pPr>
              <w:pStyle w:val="NormalWeb"/>
              <w:spacing w:before="0" w:after="0"/>
            </w:pPr>
            <w:r w:rsidRPr="00CB299D">
              <w:rPr>
                <w:rFonts w:ascii="Calibri" w:hAnsi="Calibri"/>
                <w:color w:val="333333"/>
                <w:sz w:val="22"/>
                <w:szCs w:val="22"/>
              </w:rPr>
              <w:t>Forfatter: Monica D. Ray</w:t>
            </w:r>
          </w:p>
          <w:p w:rsidR="00537395" w:rsidRPr="00CB299D" w:rsidRDefault="00537395" w:rsidP="00537395">
            <w:pPr>
              <w:pStyle w:val="NormalWeb"/>
              <w:spacing w:before="0" w:after="0"/>
            </w:pPr>
            <w:r w:rsidRPr="00CB299D">
              <w:rPr>
                <w:rFonts w:ascii="Calibri" w:hAnsi="Calibri"/>
                <w:color w:val="333333"/>
                <w:sz w:val="22"/>
                <w:szCs w:val="22"/>
              </w:rPr>
              <w:t xml:space="preserve">Forlag: Stairway Foundation </w:t>
            </w:r>
          </w:p>
          <w:p w:rsidR="00537395" w:rsidRDefault="00537395" w:rsidP="00537395">
            <w:pPr>
              <w:pStyle w:val="NormalWeb"/>
              <w:spacing w:before="0" w:after="0"/>
              <w:rPr>
                <w:rFonts w:ascii="Calibri" w:hAnsi="Calibri"/>
                <w:color w:val="333333"/>
                <w:sz w:val="22"/>
                <w:szCs w:val="22"/>
              </w:rPr>
            </w:pPr>
            <w:r>
              <w:rPr>
                <w:rFonts w:ascii="Calibri" w:hAnsi="Calibri"/>
                <w:color w:val="333333"/>
                <w:sz w:val="22"/>
                <w:szCs w:val="22"/>
              </w:rPr>
              <w:t>Udgivelsesår: 2009</w:t>
            </w:r>
          </w:p>
          <w:p w:rsidR="00537395" w:rsidRDefault="00537395" w:rsidP="00537395">
            <w:pPr>
              <w:pStyle w:val="NormalWeb"/>
              <w:spacing w:before="0" w:after="0"/>
              <w:rPr>
                <w:rFonts w:ascii="Calibri" w:hAnsi="Calibri"/>
                <w:color w:val="333333"/>
                <w:sz w:val="22"/>
                <w:szCs w:val="22"/>
              </w:rPr>
            </w:pPr>
          </w:p>
          <w:p w:rsidR="00CB299D" w:rsidRDefault="00CB299D" w:rsidP="00537395">
            <w:pPr>
              <w:pStyle w:val="NormalWeb"/>
              <w:spacing w:before="0" w:after="0"/>
              <w:rPr>
                <w:rFonts w:ascii="Calibri" w:hAnsi="Calibri"/>
                <w:color w:val="333333"/>
                <w:sz w:val="22"/>
                <w:szCs w:val="22"/>
              </w:rPr>
            </w:pPr>
          </w:p>
          <w:p w:rsidR="00537395" w:rsidRDefault="00537395" w:rsidP="00537395">
            <w:pPr>
              <w:pStyle w:val="NormalWeb"/>
              <w:spacing w:before="0" w:after="0"/>
            </w:pPr>
          </w:p>
          <w:p w:rsidR="00537395" w:rsidRDefault="00537395" w:rsidP="00537395">
            <w:pPr>
              <w:pStyle w:val="NormalWeb"/>
              <w:spacing w:before="0" w:after="0"/>
            </w:pPr>
            <w:r>
              <w:rPr>
                <w:rFonts w:ascii="Calibri" w:hAnsi="Calibri"/>
                <w:color w:val="333333"/>
                <w:sz w:val="22"/>
                <w:szCs w:val="22"/>
              </w:rPr>
              <w:t xml:space="preserve">Filmen kan ses på </w:t>
            </w:r>
            <w:hyperlink r:id="rId8" w:history="1">
              <w:r>
                <w:rPr>
                  <w:rStyle w:val="Hyperlink"/>
                  <w:rFonts w:ascii="Calibri" w:hAnsi="Calibri"/>
                  <w:color w:val="1155CC"/>
                  <w:sz w:val="22"/>
                  <w:szCs w:val="22"/>
                </w:rPr>
                <w:t>www.stairway.dk</w:t>
              </w:r>
            </w:hyperlink>
            <w:r>
              <w:rPr>
                <w:rFonts w:ascii="Calibri" w:hAnsi="Calibri"/>
                <w:color w:val="333333"/>
                <w:sz w:val="22"/>
                <w:szCs w:val="22"/>
              </w:rPr>
              <w:t xml:space="preserve"> eller lånes som dvd på </w:t>
            </w:r>
            <w:hyperlink r:id="rId9" w:history="1">
              <w:r w:rsidR="00080CEB">
                <w:rPr>
                  <w:rStyle w:val="Hyperlink"/>
                  <w:rFonts w:ascii="Calibri" w:hAnsi="Calibri"/>
                  <w:color w:val="1155CC"/>
                  <w:sz w:val="22"/>
                  <w:szCs w:val="22"/>
                </w:rPr>
                <w:t>mitCFU</w:t>
              </w:r>
              <w:r>
                <w:rPr>
                  <w:rStyle w:val="Hyperlink"/>
                  <w:rFonts w:ascii="Calibri" w:hAnsi="Calibri"/>
                  <w:color w:val="1155CC"/>
                  <w:sz w:val="22"/>
                  <w:szCs w:val="22"/>
                </w:rPr>
                <w:t>.dk</w:t>
              </w:r>
            </w:hyperlink>
            <w:r>
              <w:rPr>
                <w:rFonts w:ascii="Calibri" w:hAnsi="Calibri"/>
                <w:color w:val="333333"/>
                <w:sz w:val="22"/>
                <w:szCs w:val="22"/>
              </w:rPr>
              <w:t>.</w:t>
            </w:r>
          </w:p>
          <w:p w:rsidR="00537395" w:rsidRPr="00CB299D" w:rsidRDefault="00537395" w:rsidP="00537395">
            <w:pPr>
              <w:pStyle w:val="NormalWeb"/>
              <w:spacing w:before="0" w:after="0"/>
              <w:rPr>
                <w:rFonts w:ascii="Calibri" w:hAnsi="Calibri"/>
                <w:color w:val="333333"/>
                <w:sz w:val="22"/>
                <w:szCs w:val="22"/>
              </w:rPr>
            </w:pPr>
            <w:r>
              <w:rPr>
                <w:rFonts w:ascii="Calibri" w:hAnsi="Calibri"/>
                <w:color w:val="333333"/>
                <w:sz w:val="22"/>
                <w:szCs w:val="22"/>
              </w:rPr>
              <w:t>Organisationen Stairway Foundation har i samarbejde med CFU</w:t>
            </w:r>
            <w:r w:rsidR="00B95348">
              <w:rPr>
                <w:rFonts w:ascii="Calibri" w:hAnsi="Calibri"/>
                <w:color w:val="333333"/>
                <w:sz w:val="22"/>
                <w:szCs w:val="22"/>
              </w:rPr>
              <w:t>-</w:t>
            </w:r>
            <w:r>
              <w:rPr>
                <w:rFonts w:ascii="Calibri" w:hAnsi="Calibri"/>
                <w:color w:val="333333"/>
                <w:sz w:val="22"/>
                <w:szCs w:val="22"/>
              </w:rPr>
              <w:t xml:space="preserve">Danmark udarbejdet pædagogiske vejledninger til filmen til fagene: dansk, kristendomskundskab, samfundsfag og engelsk. </w:t>
            </w:r>
            <w:r w:rsidRPr="00CB299D">
              <w:rPr>
                <w:rFonts w:ascii="Calibri" w:hAnsi="Calibri"/>
                <w:color w:val="333333"/>
                <w:sz w:val="22"/>
                <w:szCs w:val="22"/>
              </w:rPr>
              <w:t xml:space="preserve">De pædagogiske vejledninger kan downloades på </w:t>
            </w:r>
            <w:hyperlink r:id="rId10" w:history="1">
              <w:r w:rsidR="00104E64">
                <w:rPr>
                  <w:rStyle w:val="Hyperlink"/>
                  <w:rFonts w:ascii="Calibri" w:hAnsi="Calibri"/>
                  <w:color w:val="1155CC"/>
                  <w:sz w:val="22"/>
                  <w:szCs w:val="22"/>
                </w:rPr>
                <w:t>mitCFU.dk</w:t>
              </w:r>
            </w:hyperlink>
            <w:r w:rsidRPr="00CB299D">
              <w:rPr>
                <w:rFonts w:ascii="Calibri" w:hAnsi="Calibri"/>
                <w:color w:val="333333"/>
                <w:sz w:val="22"/>
                <w:szCs w:val="22"/>
              </w:rPr>
              <w:t xml:space="preserve"> . </w:t>
            </w:r>
          </w:p>
          <w:p w:rsidR="00537395" w:rsidRDefault="00537395" w:rsidP="00537395">
            <w:pPr>
              <w:pStyle w:val="NormalWeb"/>
              <w:spacing w:before="0" w:after="0"/>
              <w:rPr>
                <w:rFonts w:ascii="Calibri" w:hAnsi="Calibri"/>
                <w:color w:val="333333"/>
              </w:rPr>
            </w:pPr>
          </w:p>
          <w:p w:rsidR="00537395" w:rsidRPr="00537395" w:rsidRDefault="00537395" w:rsidP="00537395">
            <w:pPr>
              <w:rPr>
                <w:rFonts w:ascii="Times New Roman" w:eastAsia="Times New Roman" w:hAnsi="Times New Roman" w:cs="Times New Roman"/>
                <w:color w:val="auto"/>
                <w:sz w:val="24"/>
                <w:szCs w:val="24"/>
              </w:rPr>
            </w:pPr>
            <w:r w:rsidRPr="00537395">
              <w:rPr>
                <w:rFonts w:eastAsia="Times New Roman" w:cs="Times New Roman"/>
                <w:b/>
                <w:bCs/>
                <w:color w:val="auto"/>
              </w:rPr>
              <w:t>Kort beskrivelse af materialet</w:t>
            </w:r>
          </w:p>
          <w:p w:rsidR="00537395" w:rsidRPr="00537395" w:rsidRDefault="00537395" w:rsidP="00537395">
            <w:pPr>
              <w:rPr>
                <w:rFonts w:ascii="Times New Roman" w:eastAsia="Times New Roman" w:hAnsi="Times New Roman" w:cs="Times New Roman"/>
                <w:color w:val="auto"/>
                <w:sz w:val="24"/>
                <w:szCs w:val="24"/>
              </w:rPr>
            </w:pPr>
            <w:r w:rsidRPr="00537395">
              <w:rPr>
                <w:rFonts w:eastAsia="Times New Roman" w:cs="Times New Roman"/>
                <w:i/>
                <w:iCs/>
                <w:color w:val="auto"/>
              </w:rPr>
              <w:t>Red leaves falling</w:t>
            </w:r>
            <w:r w:rsidRPr="00537395">
              <w:rPr>
                <w:rFonts w:eastAsia="Times New Roman" w:cs="Times New Roman"/>
                <w:color w:val="auto"/>
              </w:rPr>
              <w:t xml:space="preserve"> er en animationsfilm om trafficking udarbejdet af NGO-organisationen Stairway Foundation, som en del af en verdensomspændende kampagne mod trafficking og sexmisbrug af børn.</w:t>
            </w:r>
            <w:r w:rsidRPr="00537395">
              <w:rPr>
                <w:rFonts w:eastAsia="Times New Roman" w:cs="Times New Roman"/>
                <w:color w:val="auto"/>
              </w:rPr>
              <w:br/>
            </w:r>
            <w:r w:rsidRPr="00537395">
              <w:rPr>
                <w:rFonts w:eastAsia="Times New Roman" w:cs="Times New Roman"/>
                <w:i/>
                <w:iCs/>
                <w:color w:val="auto"/>
              </w:rPr>
              <w:t>Red Leaves Falling</w:t>
            </w:r>
            <w:r w:rsidRPr="00537395">
              <w:rPr>
                <w:rFonts w:eastAsia="Times New Roman" w:cs="Times New Roman"/>
                <w:color w:val="auto"/>
              </w:rPr>
              <w:t xml:space="preserve"> er et materialesæt</w:t>
            </w:r>
            <w:r w:rsidR="000827DE">
              <w:rPr>
                <w:rFonts w:eastAsia="Times New Roman" w:cs="Times New Roman"/>
                <w:color w:val="auto"/>
              </w:rPr>
              <w:t>,</w:t>
            </w:r>
            <w:r w:rsidRPr="00537395">
              <w:rPr>
                <w:rFonts w:eastAsia="Times New Roman" w:cs="Times New Roman"/>
                <w:color w:val="auto"/>
              </w:rPr>
              <w:t xml:space="preserve"> som består af både en film (26:45 min), </w:t>
            </w:r>
            <w:r w:rsidR="00B95348">
              <w:rPr>
                <w:rFonts w:eastAsia="Times New Roman" w:cs="Times New Roman"/>
                <w:color w:val="auto"/>
              </w:rPr>
              <w:t xml:space="preserve">en </w:t>
            </w:r>
            <w:r w:rsidRPr="00537395">
              <w:rPr>
                <w:rFonts w:eastAsia="Times New Roman" w:cs="Times New Roman"/>
                <w:color w:val="auto"/>
              </w:rPr>
              <w:t>tegneserie og en lærervejledning. Filmen er på engelsk.</w:t>
            </w:r>
          </w:p>
          <w:p w:rsidR="00537395" w:rsidRPr="00537395" w:rsidRDefault="00537395" w:rsidP="00537395">
            <w:pPr>
              <w:rPr>
                <w:rFonts w:ascii="Times New Roman" w:eastAsia="Times New Roman" w:hAnsi="Times New Roman" w:cs="Times New Roman"/>
                <w:color w:val="auto"/>
                <w:sz w:val="24"/>
                <w:szCs w:val="24"/>
              </w:rPr>
            </w:pPr>
            <w:r w:rsidRPr="00537395">
              <w:rPr>
                <w:rFonts w:eastAsia="Times New Roman" w:cs="Times New Roman"/>
                <w:color w:val="auto"/>
              </w:rPr>
              <w:t>Til filmen findes en bog</w:t>
            </w:r>
            <w:r w:rsidR="0080441A">
              <w:rPr>
                <w:rFonts w:eastAsia="Times New Roman" w:cs="Times New Roman"/>
                <w:color w:val="auto"/>
              </w:rPr>
              <w:t>,</w:t>
            </w:r>
            <w:r w:rsidRPr="00537395">
              <w:rPr>
                <w:rFonts w:eastAsia="Times New Roman" w:cs="Times New Roman"/>
                <w:color w:val="auto"/>
              </w:rPr>
              <w:t xml:space="preserve"> der illustrere</w:t>
            </w:r>
            <w:r>
              <w:rPr>
                <w:rFonts w:eastAsia="Times New Roman" w:cs="Times New Roman"/>
                <w:color w:val="auto"/>
              </w:rPr>
              <w:t>r</w:t>
            </w:r>
            <w:r w:rsidRPr="00537395">
              <w:rPr>
                <w:rFonts w:eastAsia="Times New Roman" w:cs="Times New Roman"/>
                <w:color w:val="auto"/>
              </w:rPr>
              <w:t xml:space="preserve"> filmens historie med tekster. Yderligere er der en lærervejledning med supplerende materialer, elevopgaver og henvisninger til andre materialer til forebyggelse af seksuelle overgreb mod børn. </w:t>
            </w:r>
          </w:p>
          <w:p w:rsidR="00537395" w:rsidRDefault="00537395" w:rsidP="00537395">
            <w:pPr>
              <w:pStyle w:val="NormalWeb"/>
              <w:spacing w:before="0" w:after="0"/>
              <w:rPr>
                <w:rFonts w:ascii="Calibri" w:hAnsi="Calibri"/>
                <w:color w:val="333333"/>
              </w:rPr>
            </w:pPr>
          </w:p>
          <w:p w:rsidR="00537395" w:rsidRPr="00DC1284" w:rsidRDefault="00537395" w:rsidP="00537395">
            <w:pPr>
              <w:rPr>
                <w:rFonts w:ascii="Times New Roman" w:eastAsia="Times New Roman" w:hAnsi="Times New Roman" w:cs="Times New Roman"/>
                <w:sz w:val="24"/>
                <w:szCs w:val="24"/>
              </w:rPr>
            </w:pPr>
            <w:r w:rsidRPr="00DC1284">
              <w:rPr>
                <w:rFonts w:eastAsia="Times New Roman" w:cs="Times New Roman"/>
                <w:b/>
                <w:bCs/>
              </w:rPr>
              <w:t>Introduktion til læreren:</w:t>
            </w:r>
          </w:p>
          <w:p w:rsidR="00537395" w:rsidRPr="00DC1284" w:rsidRDefault="00537395" w:rsidP="00537395">
            <w:pPr>
              <w:rPr>
                <w:rFonts w:ascii="Times New Roman" w:eastAsia="Times New Roman" w:hAnsi="Times New Roman" w:cs="Times New Roman"/>
                <w:sz w:val="24"/>
                <w:szCs w:val="24"/>
              </w:rPr>
            </w:pPr>
            <w:r w:rsidRPr="00DC1284">
              <w:rPr>
                <w:rFonts w:eastAsia="Times New Roman" w:cs="Times New Roman"/>
                <w:i/>
                <w:iCs/>
              </w:rPr>
              <w:t>Red Leaves Falling</w:t>
            </w:r>
            <w:r w:rsidRPr="00DC1284">
              <w:rPr>
                <w:rFonts w:eastAsia="Times New Roman" w:cs="Times New Roman"/>
              </w:rPr>
              <w:t xml:space="preserve"> er en stærk historie med et meget stærkt emne om seksuelle overgreb mod børn. Det er et emne</w:t>
            </w:r>
            <w:r w:rsidR="00327B79">
              <w:rPr>
                <w:rFonts w:eastAsia="Times New Roman" w:cs="Times New Roman"/>
              </w:rPr>
              <w:t>,</w:t>
            </w:r>
            <w:r w:rsidRPr="00DC1284">
              <w:rPr>
                <w:rFonts w:eastAsia="Times New Roman" w:cs="Times New Roman"/>
              </w:rPr>
              <w:t xml:space="preserve"> som alle bør forholde sig til</w:t>
            </w:r>
            <w:r w:rsidR="00516836">
              <w:rPr>
                <w:rFonts w:eastAsia="Times New Roman" w:cs="Times New Roman"/>
              </w:rPr>
              <w:t>,</w:t>
            </w:r>
            <w:r w:rsidRPr="00DC1284">
              <w:rPr>
                <w:rFonts w:eastAsia="Times New Roman" w:cs="Times New Roman"/>
              </w:rPr>
              <w:t xml:space="preserve"> da det er et globalt problem.  </w:t>
            </w:r>
          </w:p>
          <w:p w:rsidR="00537395" w:rsidRPr="00DC1284" w:rsidRDefault="00537395" w:rsidP="00537395">
            <w:pPr>
              <w:rPr>
                <w:rFonts w:ascii="Times New Roman" w:eastAsia="Times New Roman" w:hAnsi="Times New Roman" w:cs="Times New Roman"/>
                <w:sz w:val="24"/>
                <w:szCs w:val="24"/>
              </w:rPr>
            </w:pPr>
            <w:r w:rsidRPr="00DC1284">
              <w:rPr>
                <w:rFonts w:eastAsia="Times New Roman" w:cs="Times New Roman"/>
              </w:rPr>
              <w:t xml:space="preserve">Filmen fortæller historien om pigen </w:t>
            </w:r>
            <w:r w:rsidRPr="00DC1284">
              <w:rPr>
                <w:rFonts w:eastAsia="Times New Roman" w:cs="Times New Roman"/>
                <w:shd w:val="clear" w:color="auto" w:fill="FFFFFF"/>
              </w:rPr>
              <w:t xml:space="preserve">Ruby og hendes lillesøster, som bliver trafficket til et børnebordel i et u-land. I en parallel historie følger vi en familiefar, som deltager i misbruget via sin computer i et vestligt land. </w:t>
            </w:r>
            <w:r w:rsidRPr="00DC1284">
              <w:rPr>
                <w:rFonts w:eastAsia="Times New Roman" w:cs="Times New Roman"/>
              </w:rPr>
              <w:t> </w:t>
            </w:r>
          </w:p>
          <w:p w:rsidR="00537395" w:rsidRPr="00DC1284" w:rsidRDefault="00537395" w:rsidP="00537395">
            <w:pPr>
              <w:rPr>
                <w:rFonts w:ascii="Times New Roman" w:eastAsia="Times New Roman" w:hAnsi="Times New Roman" w:cs="Times New Roman"/>
                <w:sz w:val="24"/>
                <w:szCs w:val="24"/>
              </w:rPr>
            </w:pPr>
            <w:r w:rsidRPr="00DC1284">
              <w:rPr>
                <w:rFonts w:eastAsia="Times New Roman" w:cs="Times New Roman"/>
              </w:rPr>
              <w:t>Filmen har en meget stærk fortælling</w:t>
            </w:r>
            <w:r w:rsidR="00026629">
              <w:rPr>
                <w:rFonts w:eastAsia="Times New Roman" w:cs="Times New Roman"/>
              </w:rPr>
              <w:t>,</w:t>
            </w:r>
            <w:r w:rsidRPr="00DC1284">
              <w:rPr>
                <w:rFonts w:eastAsia="Times New Roman" w:cs="Times New Roman"/>
              </w:rPr>
              <w:t xml:space="preserve"> og det er vigtigt</w:t>
            </w:r>
            <w:r w:rsidR="00026629">
              <w:rPr>
                <w:rFonts w:eastAsia="Times New Roman" w:cs="Times New Roman"/>
              </w:rPr>
              <w:t>,</w:t>
            </w:r>
            <w:r w:rsidRPr="00DC1284">
              <w:rPr>
                <w:rFonts w:eastAsia="Times New Roman" w:cs="Times New Roman"/>
              </w:rPr>
              <w:t xml:space="preserve"> at den ikke står alene. Derfor anbefales det, at eleverne bearbejder filmen i fællesskab og får drøftet tanker og meninger om emnet. </w:t>
            </w:r>
          </w:p>
          <w:p w:rsidR="00537395" w:rsidRDefault="00537395" w:rsidP="00537395">
            <w:pPr>
              <w:rPr>
                <w:sz w:val="24"/>
                <w:szCs w:val="24"/>
              </w:rPr>
            </w:pPr>
            <w:r w:rsidRPr="00DC1284">
              <w:rPr>
                <w:rFonts w:eastAsia="Times New Roman" w:cs="Times New Roman"/>
              </w:rPr>
              <w:t xml:space="preserve">Denne pædagogiske vejledning indeholder ideer og konkrete materialer til at arbejde med filmen både før, under og efter fremvisning. Aktiviteterne er tænkt som forslag til undervisningen. </w:t>
            </w:r>
            <w:r w:rsidRPr="00DC1284">
              <w:rPr>
                <w:rFonts w:eastAsia="Times New Roman" w:cs="Times New Roman"/>
              </w:rPr>
              <w:br/>
            </w:r>
          </w:p>
          <w:p w:rsidR="000B3680" w:rsidRDefault="000B3680">
            <w:pPr>
              <w:rPr>
                <w:sz w:val="24"/>
                <w:szCs w:val="24"/>
              </w:rPr>
            </w:pPr>
          </w:p>
          <w:p w:rsidR="000B3680" w:rsidRDefault="000B3680">
            <w:pPr>
              <w:rPr>
                <w:sz w:val="24"/>
                <w:szCs w:val="24"/>
              </w:rPr>
            </w:pPr>
          </w:p>
          <w:p w:rsidR="000B3680" w:rsidRDefault="000B3680">
            <w:pPr>
              <w:rPr>
                <w:sz w:val="24"/>
                <w:szCs w:val="24"/>
              </w:rPr>
            </w:pPr>
          </w:p>
          <w:p w:rsidR="00D97D18" w:rsidRDefault="00D97D18">
            <w:pPr>
              <w:rPr>
                <w:sz w:val="24"/>
                <w:szCs w:val="24"/>
              </w:rPr>
            </w:pPr>
          </w:p>
          <w:p w:rsidR="000B3680" w:rsidRPr="00D97D18" w:rsidRDefault="00A73CBC">
            <w:pPr>
              <w:rPr>
                <w:b/>
                <w:color w:val="auto"/>
                <w:sz w:val="32"/>
                <w:szCs w:val="32"/>
              </w:rPr>
            </w:pPr>
            <w:r w:rsidRPr="00D97D18">
              <w:rPr>
                <w:b/>
                <w:color w:val="auto"/>
                <w:sz w:val="32"/>
                <w:szCs w:val="32"/>
              </w:rPr>
              <w:t>Faglig relevans/kompetenceområder</w:t>
            </w:r>
          </w:p>
          <w:p w:rsidR="00D97D18" w:rsidRDefault="00D97D18">
            <w:pPr>
              <w:rPr>
                <w:b/>
                <w:color w:val="1D266B"/>
                <w:sz w:val="32"/>
                <w:szCs w:val="32"/>
              </w:rPr>
            </w:pPr>
          </w:p>
          <w:p w:rsidR="00D97D18" w:rsidRDefault="00D97D18" w:rsidP="00D97D18">
            <w:pPr>
              <w:rPr>
                <w:b/>
              </w:rPr>
            </w:pPr>
            <w:r>
              <w:rPr>
                <w:b/>
              </w:rPr>
              <w:t>Politik</w:t>
            </w:r>
          </w:p>
          <w:p w:rsidR="00D97D18" w:rsidRDefault="00D97D18" w:rsidP="00D97D18">
            <w:r>
              <w:t>Eleven kan tage stilling til politiske problemstillinger lokalt og globalt og komme med forslag til handlinger.</w:t>
            </w:r>
          </w:p>
          <w:p w:rsidR="00D97D18" w:rsidRDefault="00D97D18" w:rsidP="00D97D18">
            <w:pPr>
              <w:rPr>
                <w:b/>
              </w:rPr>
            </w:pPr>
          </w:p>
          <w:p w:rsidR="00D97D18" w:rsidRPr="005E4032" w:rsidRDefault="00D97D18" w:rsidP="00D97D18">
            <w:r w:rsidRPr="005E4032">
              <w:t>International politik</w:t>
            </w:r>
          </w:p>
          <w:p w:rsidR="00D97D18" w:rsidRDefault="00D97D18" w:rsidP="00D97D18">
            <w:pPr>
              <w:pStyle w:val="Listeafsnit"/>
              <w:numPr>
                <w:ilvl w:val="0"/>
                <w:numId w:val="3"/>
              </w:numPr>
            </w:pPr>
            <w:r>
              <w:t xml:space="preserve">Eleven kan diskutere internationale organisationers rolle for konflikt og samarbejde i verden </w:t>
            </w:r>
          </w:p>
          <w:p w:rsidR="00D97D18" w:rsidRDefault="00D97D18" w:rsidP="00D97D18">
            <w:pPr>
              <w:pStyle w:val="Listeafsnit"/>
              <w:numPr>
                <w:ilvl w:val="0"/>
                <w:numId w:val="3"/>
              </w:numPr>
            </w:pPr>
            <w:r>
              <w:t>Eleven har viden om internationale organisationer, som Danmark deltager i</w:t>
            </w:r>
          </w:p>
          <w:p w:rsidR="00D97D18" w:rsidRDefault="00D97D18" w:rsidP="00D97D18">
            <w:pPr>
              <w:rPr>
                <w:b/>
              </w:rPr>
            </w:pPr>
          </w:p>
          <w:p w:rsidR="00D97D18" w:rsidRPr="00E16DF0" w:rsidRDefault="00D97D18" w:rsidP="00D97D18">
            <w:pPr>
              <w:rPr>
                <w:b/>
              </w:rPr>
            </w:pPr>
            <w:r>
              <w:rPr>
                <w:b/>
              </w:rPr>
              <w:t>Sociale</w:t>
            </w:r>
            <w:r w:rsidRPr="00E16DF0">
              <w:rPr>
                <w:b/>
              </w:rPr>
              <w:t xml:space="preserve"> og kulturelle forhold</w:t>
            </w:r>
          </w:p>
          <w:p w:rsidR="00D97D18" w:rsidRDefault="00D97D18" w:rsidP="00D97D18">
            <w:r>
              <w:t>Eleven kan tage stilling til og handle i forhold til sociale og kulturelle sammenhænge og problemstillinger.</w:t>
            </w:r>
          </w:p>
          <w:p w:rsidR="00D97D18" w:rsidRDefault="00D97D18" w:rsidP="00D97D18"/>
          <w:p w:rsidR="00D97D18" w:rsidRDefault="00D97D18" w:rsidP="00D97D18">
            <w:r>
              <w:t xml:space="preserve">Social differentiering </w:t>
            </w:r>
          </w:p>
          <w:p w:rsidR="00D97D18" w:rsidRDefault="00D97D18" w:rsidP="00D97D18">
            <w:pPr>
              <w:pStyle w:val="Listeafsnit"/>
              <w:numPr>
                <w:ilvl w:val="0"/>
                <w:numId w:val="1"/>
              </w:numPr>
            </w:pPr>
            <w:r>
              <w:t xml:space="preserve">Eleven kan beskrive sociale uligheder i Danmark og i verden med begreber og data </w:t>
            </w:r>
          </w:p>
          <w:p w:rsidR="00D97D18" w:rsidRDefault="00D97D18" w:rsidP="00D97D18">
            <w:pPr>
              <w:pStyle w:val="Listeafsnit"/>
              <w:numPr>
                <w:ilvl w:val="0"/>
                <w:numId w:val="1"/>
              </w:numPr>
            </w:pPr>
            <w:r>
              <w:t>Eleven har viden om beskrivelse og måling af social lighed og ulighed</w:t>
            </w:r>
          </w:p>
          <w:p w:rsidR="00D97D18" w:rsidRDefault="00D97D18" w:rsidP="00D97D18"/>
          <w:p w:rsidR="00D97D18" w:rsidRPr="0098338E" w:rsidRDefault="00D97D18" w:rsidP="00D97D18">
            <w:pPr>
              <w:rPr>
                <w:b/>
              </w:rPr>
            </w:pPr>
            <w:r w:rsidRPr="0098338E">
              <w:rPr>
                <w:b/>
              </w:rPr>
              <w:t>Samfundsfaglige metoder</w:t>
            </w:r>
          </w:p>
          <w:p w:rsidR="00D97D18" w:rsidRDefault="00D97D18" w:rsidP="00D97D18">
            <w:r>
              <w:t>Eleven kan anvende samfundsfaglige metoder</w:t>
            </w:r>
          </w:p>
          <w:p w:rsidR="00D97D18" w:rsidRDefault="00D97D18" w:rsidP="00D97D18"/>
          <w:p w:rsidR="00D97D18" w:rsidRDefault="00D97D18" w:rsidP="00D97D18">
            <w:r>
              <w:t>Undersøgelsesmetoder</w:t>
            </w:r>
          </w:p>
          <w:p w:rsidR="00D97D18" w:rsidRDefault="00D97D18" w:rsidP="00D97D18">
            <w:pPr>
              <w:pStyle w:val="Listeafsnit"/>
              <w:numPr>
                <w:ilvl w:val="0"/>
                <w:numId w:val="2"/>
              </w:numPr>
            </w:pPr>
            <w:r>
              <w:t xml:space="preserve">Eleven kan identificere, formulere og gennemføre enkle undersøgelser af samfundsmæssige problemstillinger </w:t>
            </w:r>
          </w:p>
          <w:p w:rsidR="00D97D18" w:rsidRDefault="00D97D18" w:rsidP="00D97D18">
            <w:pPr>
              <w:pStyle w:val="Listeafsnit"/>
              <w:numPr>
                <w:ilvl w:val="0"/>
                <w:numId w:val="2"/>
              </w:numPr>
            </w:pPr>
            <w:r>
              <w:t>Eleven har viden om samfundsfaglige undersøgelsesmetoder</w:t>
            </w:r>
          </w:p>
          <w:p w:rsidR="00D97D18" w:rsidRDefault="00D97D18">
            <w:pPr>
              <w:rPr>
                <w:b/>
                <w:color w:val="1D266B"/>
                <w:sz w:val="32"/>
                <w:szCs w:val="32"/>
              </w:rPr>
            </w:pPr>
          </w:p>
          <w:p w:rsidR="000B3680" w:rsidRPr="00D97D18" w:rsidRDefault="00A73CBC">
            <w:pPr>
              <w:spacing w:before="240"/>
              <w:rPr>
                <w:b/>
                <w:color w:val="auto"/>
                <w:sz w:val="32"/>
                <w:szCs w:val="32"/>
              </w:rPr>
            </w:pPr>
            <w:r w:rsidRPr="00D97D18">
              <w:rPr>
                <w:b/>
                <w:color w:val="auto"/>
                <w:sz w:val="32"/>
                <w:szCs w:val="32"/>
              </w:rPr>
              <w:t>Ideer til undervisningen</w:t>
            </w:r>
          </w:p>
          <w:p w:rsidR="00D97D18" w:rsidRDefault="00D97D18" w:rsidP="00D97D18">
            <w:r>
              <w:t>Denne pædagogiske vejledning lægger op til</w:t>
            </w:r>
            <w:r w:rsidR="00B95348">
              <w:t>,</w:t>
            </w:r>
            <w:r>
              <w:t xml:space="preserve"> at eleverne arbejder med forståelsen af børns forskellige vilkår, og hvordan det påvirker deres liv. Der tages udgangspunkt i elevernes egen livsverden, hvorefter tegnefilmen inddrages for at forstå</w:t>
            </w:r>
            <w:r w:rsidR="00B95348">
              <w:t>,</w:t>
            </w:r>
            <w:r>
              <w:t xml:space="preserve"> hvordan de sociale vilkår spiller en rolle, og hvordan de to verdener er forbundet. </w:t>
            </w:r>
          </w:p>
          <w:p w:rsidR="00D97D18" w:rsidRDefault="00D97D18" w:rsidP="00D97D18">
            <w:pPr>
              <w:spacing w:before="240"/>
            </w:pPr>
            <w:r>
              <w:t xml:space="preserve">Inden eleverne ser tegnefilmen, kan de i grupper á fire lave en liste med de fem rettigheder, de synes det er vigtigst, at de som børn har. </w:t>
            </w:r>
          </w:p>
          <w:p w:rsidR="00D97D18" w:rsidRDefault="00D97D18" w:rsidP="00D97D18">
            <w:pPr>
              <w:pStyle w:val="Listeafsnit"/>
              <w:numPr>
                <w:ilvl w:val="0"/>
                <w:numId w:val="4"/>
              </w:numPr>
              <w:spacing w:before="240" w:after="200"/>
              <w:ind w:left="360"/>
            </w:pPr>
            <w:r>
              <w:t>Brug evt. mødet på midten tilgangen, hvor eleverne først skriver deres egne fem forslag i hver deres felt, hvorefter de skal blive enige om</w:t>
            </w:r>
            <w:r w:rsidR="00B95348">
              <w:t>, hvilke fem</w:t>
            </w:r>
            <w:r>
              <w:t xml:space="preserve"> de sammen vil skrive i midten, og som de anser for de vigtigste. På den måde får alle eleverne argumenteret for deres valg.  </w:t>
            </w:r>
          </w:p>
          <w:p w:rsidR="00D97D18" w:rsidRDefault="00D97D18" w:rsidP="00D97D18">
            <w:pPr>
              <w:spacing w:before="240"/>
            </w:pPr>
          </w:p>
          <w:p w:rsidR="00D97D18" w:rsidRDefault="00D97D18" w:rsidP="00D97D18"/>
          <w:p w:rsidR="00D97D18" w:rsidRDefault="00D97D18" w:rsidP="00D97D18"/>
          <w:p w:rsidR="00D97D18" w:rsidRDefault="00D97D18" w:rsidP="00D97D18"/>
          <w:p w:rsidR="00D97D18" w:rsidRDefault="00D97D18" w:rsidP="00D97D18">
            <w:pPr>
              <w:pStyle w:val="Listeafsnit"/>
              <w:numPr>
                <w:ilvl w:val="0"/>
                <w:numId w:val="4"/>
              </w:numPr>
              <w:spacing w:after="200"/>
              <w:ind w:left="360"/>
            </w:pPr>
            <w:r>
              <w:t xml:space="preserve">Efterfølgende kan eleverne lave en prioriteret rækkefølge af de rettigheder, de sammen er blevet enige om. </w:t>
            </w:r>
          </w:p>
          <w:p w:rsidR="00D97D18" w:rsidRDefault="00D97D18" w:rsidP="00D97D18">
            <w:r>
              <w:t xml:space="preserve">For at understøtte arbejdet med fagets undersøgelsesmetoder, kan eleverne fx lave en undersøgelse på skolen af, hvad der her generelt opfattes som vigtige rettigheder for børn. Det kan fx gøres gennem brug af en spørgeskemaundersøgelse eller interviews. </w:t>
            </w:r>
          </w:p>
          <w:p w:rsidR="00D97D18" w:rsidRDefault="00D97D18" w:rsidP="00D97D18">
            <w:r>
              <w:t xml:space="preserve">Herefter kan tegnefilmen vises. Eleverne skal holde </w:t>
            </w:r>
            <w:r w:rsidR="00B95348">
              <w:t>øje med, hvilke rettigheder</w:t>
            </w:r>
            <w:r>
              <w:t xml:space="preserve"> Ruby italesætter i tegnefilmen som værende vigtige for hende. </w:t>
            </w:r>
          </w:p>
          <w:p w:rsidR="00D97D18" w:rsidRDefault="00D97D18" w:rsidP="00D97D18">
            <w:pPr>
              <w:pStyle w:val="Listeafsnit"/>
              <w:numPr>
                <w:ilvl w:val="0"/>
                <w:numId w:val="4"/>
              </w:numPr>
              <w:spacing w:before="240" w:after="200"/>
              <w:ind w:left="360"/>
            </w:pPr>
            <w:r>
              <w:t>Lav en sammenligning med de lister, som I lavede i første omgang. Hvilke forskelle og ligheder er der?</w:t>
            </w:r>
          </w:p>
          <w:p w:rsidR="00D97D18" w:rsidRDefault="00D97D18" w:rsidP="00D97D18">
            <w:pPr>
              <w:pStyle w:val="Listeafsnit"/>
              <w:spacing w:before="240" w:after="200"/>
              <w:ind w:left="360"/>
            </w:pPr>
          </w:p>
          <w:p w:rsidR="00D97D18" w:rsidRDefault="00D97D18" w:rsidP="00D97D18">
            <w:pPr>
              <w:pStyle w:val="Listeafsnit"/>
              <w:numPr>
                <w:ilvl w:val="0"/>
                <w:numId w:val="4"/>
              </w:numPr>
              <w:spacing w:before="240" w:after="200"/>
              <w:ind w:left="360"/>
            </w:pPr>
            <w:r>
              <w:t>Hvordan kan vi forklare årsagerne til forskelle og ligheder?</w:t>
            </w:r>
          </w:p>
          <w:p w:rsidR="00D97D18" w:rsidRDefault="00D97D18" w:rsidP="00D97D18">
            <w:pPr>
              <w:pStyle w:val="Listeafsnit"/>
              <w:ind w:left="0"/>
            </w:pPr>
          </w:p>
          <w:p w:rsidR="00D97D18" w:rsidRDefault="00D97D18" w:rsidP="00D97D18">
            <w:pPr>
              <w:pStyle w:val="Listeafsnit"/>
              <w:numPr>
                <w:ilvl w:val="0"/>
                <w:numId w:val="4"/>
              </w:numPr>
              <w:spacing w:before="240" w:after="200"/>
              <w:ind w:left="360"/>
            </w:pPr>
            <w:r>
              <w:t xml:space="preserve">Undersøg forskellen på menneskers vilkår </w:t>
            </w:r>
          </w:p>
          <w:p w:rsidR="00D97D18" w:rsidRDefault="00D97D18" w:rsidP="00D97D18"/>
          <w:p w:rsidR="00D97D18" w:rsidRDefault="008E19C4" w:rsidP="00D97D18">
            <w:r>
              <w:t>Undersøg</w:t>
            </w:r>
            <w:r w:rsidR="00D97D18">
              <w:t xml:space="preserve"> hvilke rettigheder børn har ifølge FN´s børnekonvention. Læs evt. paragrafferne her </w:t>
            </w:r>
            <w:hyperlink r:id="rId11" w:history="1">
              <w:r w:rsidR="00D97D18" w:rsidRPr="000B7A65">
                <w:rPr>
                  <w:rStyle w:val="Hyperlink"/>
                </w:rPr>
                <w:t>http://ipaper.ipapercms.dk/UNICEFDanmark/Brnekonventionen/</w:t>
              </w:r>
            </w:hyperlink>
            <w:r w:rsidR="00D97D18">
              <w:t xml:space="preserve"> </w:t>
            </w:r>
          </w:p>
          <w:p w:rsidR="00D97D18" w:rsidRDefault="00D97D18" w:rsidP="00D97D18">
            <w:pPr>
              <w:pStyle w:val="Listeafsnit"/>
              <w:numPr>
                <w:ilvl w:val="0"/>
                <w:numId w:val="4"/>
              </w:numPr>
              <w:spacing w:before="240" w:after="200"/>
              <w:ind w:left="457" w:hanging="457"/>
            </w:pPr>
            <w:r>
              <w:t>Hvilke af FN´s børnerettigheder krænkes i fortællingen om Ruby og Dawn?</w:t>
            </w:r>
          </w:p>
          <w:p w:rsidR="00D97D18" w:rsidRDefault="00D97D18" w:rsidP="00D97D18">
            <w:pPr>
              <w:pStyle w:val="Listeafsnit"/>
              <w:spacing w:before="240" w:after="200"/>
              <w:ind w:left="457"/>
            </w:pPr>
          </w:p>
          <w:p w:rsidR="00D97D18" w:rsidRDefault="00D97D18" w:rsidP="00D97D18">
            <w:pPr>
              <w:pStyle w:val="Listeafsnit"/>
              <w:numPr>
                <w:ilvl w:val="0"/>
                <w:numId w:val="4"/>
              </w:numPr>
              <w:spacing w:before="240" w:after="200"/>
              <w:ind w:left="457" w:hanging="425"/>
            </w:pPr>
            <w:r>
              <w:t xml:space="preserve">Hvis ansvar er det, at deres rettigheder krænkes? </w:t>
            </w:r>
          </w:p>
          <w:p w:rsidR="00D97D18" w:rsidRDefault="00D97D18" w:rsidP="00D97D18"/>
          <w:p w:rsidR="00D97D18" w:rsidRDefault="00D97D18" w:rsidP="00D97D18">
            <w:pPr>
              <w:rPr>
                <w:noProof/>
              </w:rPr>
            </w:pPr>
            <w:r>
              <w:rPr>
                <w:noProof/>
              </w:rPr>
              <w:drawing>
                <wp:inline distT="0" distB="0" distL="0" distR="0" wp14:anchorId="47943328" wp14:editId="1B7B54BC">
                  <wp:extent cx="2390775" cy="1340997"/>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10494" cy="1352057"/>
                          </a:xfrm>
                          <a:prstGeom prst="rect">
                            <a:avLst/>
                          </a:prstGeom>
                        </pic:spPr>
                      </pic:pic>
                    </a:graphicData>
                  </a:graphic>
                </wp:inline>
              </w:drawing>
            </w:r>
            <w:r w:rsidRPr="00E11FD5">
              <w:rPr>
                <w:noProof/>
              </w:rPr>
              <w:t xml:space="preserve"> </w:t>
            </w:r>
            <w:r>
              <w:rPr>
                <w:noProof/>
              </w:rPr>
              <w:drawing>
                <wp:inline distT="0" distB="0" distL="0" distR="0" wp14:anchorId="656E638C" wp14:editId="56EDD4FD">
                  <wp:extent cx="2428875" cy="1370683"/>
                  <wp:effectExtent l="0" t="0" r="0" b="127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44918" cy="1379736"/>
                          </a:xfrm>
                          <a:prstGeom prst="rect">
                            <a:avLst/>
                          </a:prstGeom>
                        </pic:spPr>
                      </pic:pic>
                    </a:graphicData>
                  </a:graphic>
                </wp:inline>
              </w:drawing>
            </w:r>
          </w:p>
          <w:p w:rsidR="008E19C4" w:rsidRDefault="008E19C4" w:rsidP="00D97D18"/>
          <w:p w:rsidR="00D97D18" w:rsidRDefault="00D97D18" w:rsidP="00D97D18">
            <w:pPr>
              <w:jc w:val="center"/>
              <w:rPr>
                <w:i/>
                <w:sz w:val="18"/>
                <w:szCs w:val="18"/>
              </w:rPr>
            </w:pPr>
            <w:r>
              <w:t xml:space="preserve">                                                                            </w:t>
            </w:r>
            <w:r w:rsidRPr="003F5379">
              <w:rPr>
                <w:sz w:val="18"/>
                <w:szCs w:val="18"/>
              </w:rPr>
              <w:t xml:space="preserve">Billederne er fra tegnefilmen </w:t>
            </w:r>
            <w:r w:rsidRPr="003F5379">
              <w:rPr>
                <w:i/>
                <w:sz w:val="18"/>
                <w:szCs w:val="18"/>
              </w:rPr>
              <w:t>Red leaves falling</w:t>
            </w:r>
          </w:p>
          <w:p w:rsidR="008E19C4" w:rsidRPr="003F5379" w:rsidRDefault="008E19C4" w:rsidP="00D97D18">
            <w:pPr>
              <w:jc w:val="center"/>
              <w:rPr>
                <w:sz w:val="18"/>
                <w:szCs w:val="18"/>
              </w:rPr>
            </w:pPr>
          </w:p>
          <w:p w:rsidR="00D97D18" w:rsidRDefault="00D97D18" w:rsidP="00D97D18">
            <w:r>
              <w:t>En del af problematikkerne</w:t>
            </w:r>
            <w:r w:rsidR="00B95348">
              <w:t>,</w:t>
            </w:r>
            <w:r>
              <w:t xml:space="preserve"> tegnefilmen rej</w:t>
            </w:r>
            <w:r w:rsidR="00B95348">
              <w:t>ser,</w:t>
            </w:r>
            <w:r>
              <w:t xml:space="preserve"> er forskellen på levevilkårene i ulande og ilande. </w:t>
            </w:r>
          </w:p>
          <w:p w:rsidR="008E19C4" w:rsidRDefault="008E19C4" w:rsidP="00D97D18"/>
          <w:p w:rsidR="00D97D18" w:rsidRDefault="00D97D18" w:rsidP="00D97D18">
            <w:pPr>
              <w:pStyle w:val="Listeafsnit"/>
              <w:numPr>
                <w:ilvl w:val="0"/>
                <w:numId w:val="5"/>
              </w:numPr>
              <w:spacing w:after="200"/>
              <w:ind w:left="457" w:hanging="425"/>
            </w:pPr>
            <w:r>
              <w:t>Find eksempler i tegnefilmen, hvor det er tydeligt, at børnenes vilkår i de to parallelfortællinger fra starten er forskellige.</w:t>
            </w:r>
          </w:p>
          <w:p w:rsidR="00D97D18" w:rsidRDefault="00D97D18" w:rsidP="00D97D18">
            <w:pPr>
              <w:pStyle w:val="Listeafsnit"/>
              <w:spacing w:after="200"/>
            </w:pPr>
          </w:p>
          <w:p w:rsidR="00D97D18" w:rsidRDefault="00D97D18" w:rsidP="00D97D18">
            <w:pPr>
              <w:pStyle w:val="Listeafsnit"/>
              <w:numPr>
                <w:ilvl w:val="0"/>
                <w:numId w:val="5"/>
              </w:numPr>
              <w:spacing w:after="200"/>
              <w:ind w:left="457" w:hanging="425"/>
            </w:pPr>
            <w:r>
              <w:t xml:space="preserve">Hvis vi skal ændre på de sociale forskelle og krænkelserne af børn, er det ikke kun ulandenes problemer, vi skal handle på. Vi skal selv tage ansvar, men hvordan? Inddrag evt. </w:t>
            </w:r>
            <w:hyperlink r:id="rId14" w:history="1">
              <w:r w:rsidRPr="00534A89">
                <w:rPr>
                  <w:rStyle w:val="Hyperlink"/>
                </w:rPr>
                <w:t>Fattigdom øger risikoen for misbrug</w:t>
              </w:r>
            </w:hyperlink>
            <w:r>
              <w:t xml:space="preserve"> </w:t>
            </w:r>
            <w:r w:rsidRPr="00FD2B46">
              <w:t>til</w:t>
            </w:r>
            <w:r>
              <w:t xml:space="preserve"> at understøtte jeres overvejelser. </w:t>
            </w:r>
          </w:p>
          <w:p w:rsidR="00D97D18" w:rsidRDefault="00D97D18" w:rsidP="00D97D18">
            <w:pPr>
              <w:pStyle w:val="Listeafsnit"/>
              <w:spacing w:after="200"/>
              <w:ind w:left="457"/>
            </w:pPr>
          </w:p>
          <w:p w:rsidR="008E19C4" w:rsidRDefault="008E19C4" w:rsidP="008E19C4">
            <w:pPr>
              <w:pStyle w:val="Listeafsnit"/>
              <w:spacing w:after="200"/>
              <w:ind w:left="457"/>
            </w:pPr>
          </w:p>
          <w:p w:rsidR="00D97D18" w:rsidRDefault="00D97D18" w:rsidP="00D97D18">
            <w:pPr>
              <w:pStyle w:val="Listeafsnit"/>
              <w:numPr>
                <w:ilvl w:val="0"/>
                <w:numId w:val="5"/>
              </w:numPr>
              <w:spacing w:after="200"/>
              <w:ind w:left="457" w:hanging="425"/>
            </w:pPr>
            <w:r>
              <w:lastRenderedPageBreak/>
              <w:t xml:space="preserve">Udarbejd en kampagne, hvor I med udgangspunkt i FN´s børnekonvention, </w:t>
            </w:r>
            <w:r>
              <w:rPr>
                <w:i/>
              </w:rPr>
              <w:t>Red Leaves F</w:t>
            </w:r>
            <w:r w:rsidRPr="003F5379">
              <w:rPr>
                <w:i/>
              </w:rPr>
              <w:t>alling</w:t>
            </w:r>
            <w:r>
              <w:t xml:space="preserve"> og de overvejelser I har gjort jer under arbejdet, der skal sætte fokus på, hvordan vi beskytter børn mod overgreb. I kan fx lave en billedfortælling, en plakat, en film eller en digital bog, hvor I inddrager stillbilleder fra tegnefilmen og jeres overvejelser. </w:t>
            </w:r>
          </w:p>
          <w:p w:rsidR="000B3680" w:rsidRDefault="00A73CBC">
            <w:pPr>
              <w:pStyle w:val="Overskrift1"/>
              <w:spacing w:before="240"/>
              <w:outlineLvl w:val="0"/>
              <w:rPr>
                <w:rFonts w:ascii="Calibri" w:eastAsia="Calibri" w:hAnsi="Calibri" w:cs="Calibri"/>
                <w:color w:val="auto"/>
                <w:sz w:val="32"/>
                <w:szCs w:val="32"/>
              </w:rPr>
            </w:pPr>
            <w:r w:rsidRPr="00D97D18">
              <w:rPr>
                <w:rFonts w:ascii="Calibri" w:eastAsia="Calibri" w:hAnsi="Calibri" w:cs="Calibri"/>
                <w:color w:val="auto"/>
                <w:sz w:val="32"/>
                <w:szCs w:val="32"/>
              </w:rPr>
              <w:t>Supplerende materialer</w:t>
            </w:r>
          </w:p>
          <w:p w:rsidR="00FD2B46" w:rsidRPr="00FD2B46" w:rsidRDefault="00FD2B46" w:rsidP="00FD2B46"/>
          <w:p w:rsidR="00FD2B46" w:rsidRPr="003161CB" w:rsidRDefault="00FD2B46" w:rsidP="00FD2B46">
            <w:r>
              <w:t xml:space="preserve">Fattigdom findes ikke kun i ulande. Også i Danmark er der fattige børn. Se fx udsendelserne om </w:t>
            </w:r>
            <w:r w:rsidRPr="003161CB">
              <w:rPr>
                <w:i/>
              </w:rPr>
              <w:t>Barn</w:t>
            </w:r>
            <w:r>
              <w:rPr>
                <w:i/>
              </w:rPr>
              <w:t>dom</w:t>
            </w:r>
            <w:r w:rsidRPr="003161CB">
              <w:rPr>
                <w:i/>
              </w:rPr>
              <w:t xml:space="preserve"> på bistand</w:t>
            </w:r>
            <w:r>
              <w:t>. Ud</w:t>
            </w:r>
            <w:r w:rsidR="00E26880">
              <w:t>sendelserne kan findes på mitCFU</w:t>
            </w:r>
            <w:r>
              <w:t xml:space="preserve">.dk </w:t>
            </w:r>
          </w:p>
          <w:p w:rsidR="00FD2B46" w:rsidRDefault="00FD2B46" w:rsidP="00FD2B46"/>
          <w:p w:rsidR="00FD2B46" w:rsidRDefault="00FD2B46" w:rsidP="00FD2B46">
            <w:r>
              <w:t xml:space="preserve">Her kan du også læse mere om seksuelt misbrug, og du kan finde konkrete råd og vejledning til, hvad du som lærer skal gøre, hvis en elev betror sig til dig om et overgreb. Du skal straks gå til din leder, som kan trække på et beredskab i alle landets kommuner. Læs mere på </w:t>
            </w:r>
            <w:hyperlink r:id="rId15" w:history="1">
              <w:r>
                <w:rPr>
                  <w:rStyle w:val="Hyperlink"/>
                </w:rPr>
                <w:t>www.stairway.dk/undervisning/hjaelp</w:t>
              </w:r>
            </w:hyperlink>
          </w:p>
          <w:p w:rsidR="000B3680" w:rsidRDefault="000B3680"/>
          <w:p w:rsidR="000B3680" w:rsidRDefault="000B3680"/>
        </w:tc>
      </w:tr>
    </w:tbl>
    <w:p w:rsidR="000B3680" w:rsidRDefault="000B3680">
      <w:pPr>
        <w:tabs>
          <w:tab w:val="left" w:pos="1304"/>
          <w:tab w:val="left" w:pos="8745"/>
        </w:tabs>
      </w:pPr>
    </w:p>
    <w:p w:rsidR="000B3680" w:rsidRDefault="000B3680"/>
    <w:sectPr w:rsidR="000B3680">
      <w:headerReference w:type="default" r:id="rId16"/>
      <w:footerReference w:type="default" r:id="rId17"/>
      <w:pgSz w:w="11906" w:h="16838"/>
      <w:pgMar w:top="1605" w:right="1134" w:bottom="1135" w:left="1134"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D71" w:rsidRDefault="00BD1D71">
      <w:pPr>
        <w:spacing w:after="0"/>
      </w:pPr>
      <w:r>
        <w:separator/>
      </w:r>
    </w:p>
  </w:endnote>
  <w:endnote w:type="continuationSeparator" w:id="0">
    <w:p w:rsidR="00BD1D71" w:rsidRDefault="00BD1D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680" w:rsidRDefault="00BD1D71">
    <w:pPr>
      <w:tabs>
        <w:tab w:val="center" w:pos="4819"/>
        <w:tab w:val="right" w:pos="9638"/>
      </w:tabs>
      <w:spacing w:after="0"/>
    </w:pPr>
    <w:r>
      <w:pict>
        <v:rect id="_x0000_i1026" style="width:0;height:1.5pt" o:hralign="center" o:hrstd="t" o:hr="t" fillcolor="#a0a0a0" stroked="f"/>
      </w:pict>
    </w:r>
  </w:p>
  <w:p w:rsidR="000B3680" w:rsidRDefault="00A73CBC">
    <w:pPr>
      <w:tabs>
        <w:tab w:val="center" w:pos="4819"/>
        <w:tab w:val="right" w:pos="9638"/>
      </w:tabs>
      <w:spacing w:after="0"/>
      <w:rPr>
        <w:sz w:val="20"/>
        <w:szCs w:val="20"/>
      </w:rPr>
    </w:pPr>
    <w:r>
      <w:rPr>
        <w:sz w:val="18"/>
        <w:szCs w:val="18"/>
      </w:rPr>
      <w:t xml:space="preserve">Udarbejdet af </w:t>
    </w:r>
    <w:r w:rsidR="00537395">
      <w:rPr>
        <w:sz w:val="18"/>
        <w:szCs w:val="18"/>
      </w:rPr>
      <w:t>Astrid Danielsen</w:t>
    </w:r>
    <w:r>
      <w:rPr>
        <w:sz w:val="18"/>
        <w:szCs w:val="18"/>
      </w:rPr>
      <w:t>, CFU UC</w:t>
    </w:r>
    <w:r w:rsidR="00537395">
      <w:rPr>
        <w:sz w:val="18"/>
        <w:szCs w:val="18"/>
      </w:rPr>
      <w:t>L</w:t>
    </w:r>
    <w:r>
      <w:rPr>
        <w:sz w:val="18"/>
        <w:szCs w:val="18"/>
      </w:rPr>
      <w:t xml:space="preserve">, </w:t>
    </w:r>
    <w:r w:rsidR="00537395">
      <w:rPr>
        <w:sz w:val="18"/>
        <w:szCs w:val="18"/>
      </w:rPr>
      <w:t>juni 2017</w:t>
    </w:r>
  </w:p>
  <w:p w:rsidR="000B3680" w:rsidRDefault="00537395">
    <w:pPr>
      <w:tabs>
        <w:tab w:val="center" w:pos="4819"/>
        <w:tab w:val="right" w:pos="9638"/>
      </w:tabs>
      <w:spacing w:after="0"/>
    </w:pPr>
    <w:r>
      <w:t>Red Leaves Falling: Børns rettigheder</w:t>
    </w:r>
    <w:r w:rsidR="00A73CBC">
      <w:tab/>
    </w:r>
    <w:r w:rsidR="00A73CBC">
      <w:tab/>
    </w:r>
    <w:r w:rsidR="00A73CBC">
      <w:rPr>
        <w:noProof/>
      </w:rPr>
      <w:drawing>
        <wp:inline distT="114300" distB="114300" distL="114300" distR="114300" wp14:anchorId="7A0F7489" wp14:editId="3DF6A7ED">
          <wp:extent cx="533400" cy="1047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rsidR="000B3680" w:rsidRDefault="00A73CBC">
    <w:pPr>
      <w:tabs>
        <w:tab w:val="center" w:pos="4819"/>
        <w:tab w:val="right" w:pos="9638"/>
      </w:tabs>
      <w:spacing w:after="218"/>
      <w:jc w:val="right"/>
    </w:pPr>
    <w:r>
      <w:fldChar w:fldCharType="begin"/>
    </w:r>
    <w:r>
      <w:instrText>PAGE</w:instrText>
    </w:r>
    <w:r>
      <w:fldChar w:fldCharType="separate"/>
    </w:r>
    <w:r w:rsidR="00F9324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D71" w:rsidRDefault="00BD1D71">
      <w:pPr>
        <w:spacing w:after="0"/>
      </w:pPr>
      <w:r>
        <w:separator/>
      </w:r>
    </w:p>
  </w:footnote>
  <w:footnote w:type="continuationSeparator" w:id="0">
    <w:p w:rsidR="00BD1D71" w:rsidRDefault="00BD1D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680" w:rsidRDefault="00A73CBC">
    <w:pPr>
      <w:tabs>
        <w:tab w:val="center" w:pos="0"/>
        <w:tab w:val="left" w:pos="4260"/>
      </w:tabs>
      <w:spacing w:before="708" w:after="0"/>
      <w:ind w:left="720" w:right="5"/>
      <w:jc w:val="right"/>
      <w:rPr>
        <w:color w:val="0000FF"/>
        <w:u w:val="single"/>
      </w:rPr>
    </w:pPr>
    <w:r>
      <w:rPr>
        <w:b/>
      </w:rPr>
      <w:tab/>
    </w:r>
    <w:r>
      <w:rPr>
        <w:b/>
      </w:rPr>
      <w:tab/>
    </w:r>
    <w:r>
      <w:rPr>
        <w:b/>
      </w:rPr>
      <w:tab/>
    </w:r>
    <w:r>
      <w:rPr>
        <w:b/>
      </w:rPr>
      <w:tab/>
    </w:r>
    <w:r>
      <w:rPr>
        <w:b/>
      </w:rPr>
      <w:tab/>
    </w:r>
    <w:r>
      <w:rPr>
        <w:b/>
      </w:rPr>
      <w:tab/>
    </w:r>
    <w:r>
      <w:t>Pædagogisk vejledning</w:t>
    </w:r>
    <w:r>
      <w:tab/>
    </w:r>
    <w:r>
      <w:tab/>
    </w:r>
    <w:r>
      <w:tab/>
    </w:r>
    <w:r>
      <w:tab/>
    </w:r>
    <w:r>
      <w:tab/>
    </w:r>
    <w:r>
      <w:tab/>
    </w:r>
    <w:hyperlink r:id="rId1">
      <w:r>
        <w:rPr>
          <w:color w:val="0000FF"/>
          <w:u w:val="single"/>
        </w:rPr>
        <w:t>http://mitcfu.dk</w:t>
      </w:r>
    </w:hyperlink>
    <w:r w:rsidR="00537395">
      <w:rPr>
        <w:color w:val="0000FF"/>
        <w:u w:val="single"/>
      </w:rPr>
      <w:t>/</w:t>
    </w:r>
    <w:r>
      <w:rPr>
        <w:noProof/>
      </w:rPr>
      <w:drawing>
        <wp:anchor distT="0" distB="0" distL="114300" distR="114300" simplePos="0" relativeHeight="251658240" behindDoc="0" locked="0" layoutInCell="1" hidden="0" allowOverlap="1" wp14:anchorId="0B3F6269" wp14:editId="19AF10F7">
          <wp:simplePos x="0" y="0"/>
          <wp:positionH relativeFrom="margin">
            <wp:posOffset>9525</wp:posOffset>
          </wp:positionH>
          <wp:positionV relativeFrom="paragraph">
            <wp:posOffset>342900</wp:posOffset>
          </wp:positionV>
          <wp:extent cx="2418398" cy="390525"/>
          <wp:effectExtent l="0" t="0" r="0" b="0"/>
          <wp:wrapSquare wrapText="bothSides" distT="0" distB="0" distL="114300" distR="114300"/>
          <wp:docPr id="1" name="image3.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3.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r w:rsidR="00A9293D">
      <w:rPr>
        <w:color w:val="0000FF"/>
        <w:u w:val="single"/>
      </w:rPr>
      <w:t>52464471</w:t>
    </w:r>
  </w:p>
  <w:p w:rsidR="000B3680" w:rsidRDefault="00BD1D71">
    <w:pPr>
      <w:tabs>
        <w:tab w:val="center" w:pos="4819"/>
        <w:tab w:val="right" w:pos="9638"/>
      </w:tabs>
      <w:spacing w:after="0"/>
      <w:jc w:val="right"/>
    </w:pPr>
    <w: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0E21"/>
    <w:multiLevelType w:val="hybridMultilevel"/>
    <w:tmpl w:val="5F78F5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4057E5"/>
    <w:multiLevelType w:val="hybridMultilevel"/>
    <w:tmpl w:val="D3865EA4"/>
    <w:lvl w:ilvl="0" w:tplc="0406000B">
      <w:start w:val="1"/>
      <w:numFmt w:val="bullet"/>
      <w:lvlText w:val=""/>
      <w:lvlJc w:val="left"/>
      <w:pPr>
        <w:ind w:left="1664" w:hanging="360"/>
      </w:pPr>
      <w:rPr>
        <w:rFonts w:ascii="Wingdings" w:hAnsi="Wingdings"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 w15:restartNumberingAfterBreak="0">
    <w:nsid w:val="29F01503"/>
    <w:multiLevelType w:val="hybridMultilevel"/>
    <w:tmpl w:val="C44407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01295B"/>
    <w:multiLevelType w:val="hybridMultilevel"/>
    <w:tmpl w:val="5B5AE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18C625D"/>
    <w:multiLevelType w:val="hybridMultilevel"/>
    <w:tmpl w:val="8B4C6AB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80"/>
    <w:rsid w:val="00026629"/>
    <w:rsid w:val="000642DD"/>
    <w:rsid w:val="00080CEB"/>
    <w:rsid w:val="000827DE"/>
    <w:rsid w:val="000B3680"/>
    <w:rsid w:val="000E58B6"/>
    <w:rsid w:val="00104E64"/>
    <w:rsid w:val="001A420C"/>
    <w:rsid w:val="0023666D"/>
    <w:rsid w:val="002B39D8"/>
    <w:rsid w:val="00327B79"/>
    <w:rsid w:val="003959DE"/>
    <w:rsid w:val="004F21BA"/>
    <w:rsid w:val="00516836"/>
    <w:rsid w:val="00537395"/>
    <w:rsid w:val="00615066"/>
    <w:rsid w:val="006C7FB9"/>
    <w:rsid w:val="0080441A"/>
    <w:rsid w:val="008E19C4"/>
    <w:rsid w:val="009235A9"/>
    <w:rsid w:val="00A556AD"/>
    <w:rsid w:val="00A73CBC"/>
    <w:rsid w:val="00A9293D"/>
    <w:rsid w:val="00AF5AB2"/>
    <w:rsid w:val="00B95348"/>
    <w:rsid w:val="00BD1D71"/>
    <w:rsid w:val="00C462E9"/>
    <w:rsid w:val="00CB299D"/>
    <w:rsid w:val="00D97D18"/>
    <w:rsid w:val="00E26880"/>
    <w:rsid w:val="00E32F3C"/>
    <w:rsid w:val="00EE1382"/>
    <w:rsid w:val="00F5051E"/>
    <w:rsid w:val="00F9324B"/>
    <w:rsid w:val="00FD2B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B4559D-38B0-41E9-9A20-EAEDF3B8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da-DK" w:eastAsia="da-DK"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paragraph" w:styleId="Markeringsbobletekst">
    <w:name w:val="Balloon Text"/>
    <w:basedOn w:val="Normal"/>
    <w:link w:val="MarkeringsbobletekstTegn"/>
    <w:uiPriority w:val="99"/>
    <w:semiHidden/>
    <w:unhideWhenUsed/>
    <w:rsid w:val="00E32F3C"/>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32F3C"/>
    <w:rPr>
      <w:rFonts w:ascii="Tahoma" w:hAnsi="Tahoma" w:cs="Tahoma"/>
      <w:sz w:val="16"/>
      <w:szCs w:val="16"/>
    </w:rPr>
  </w:style>
  <w:style w:type="character" w:styleId="Hyperlink">
    <w:name w:val="Hyperlink"/>
    <w:basedOn w:val="Standardskrifttypeiafsnit"/>
    <w:uiPriority w:val="99"/>
    <w:unhideWhenUsed/>
    <w:rsid w:val="00537395"/>
    <w:rPr>
      <w:color w:val="0000FF" w:themeColor="hyperlink"/>
      <w:u w:val="single"/>
    </w:rPr>
  </w:style>
  <w:style w:type="paragraph" w:styleId="NormalWeb">
    <w:name w:val="Normal (Web)"/>
    <w:basedOn w:val="Normal"/>
    <w:uiPriority w:val="99"/>
    <w:rsid w:val="00537395"/>
    <w:pPr>
      <w:widowControl/>
      <w:pBdr>
        <w:top w:val="none" w:sz="0" w:space="0" w:color="auto"/>
        <w:left w:val="none" w:sz="0" w:space="0" w:color="auto"/>
        <w:bottom w:val="none" w:sz="0" w:space="0" w:color="auto"/>
        <w:right w:val="none" w:sz="0" w:space="0" w:color="auto"/>
        <w:between w:val="none" w:sz="0" w:space="0" w:color="auto"/>
      </w:pBdr>
      <w:autoSpaceDN w:val="0"/>
      <w:spacing w:before="100" w:after="100"/>
    </w:pPr>
    <w:rPr>
      <w:rFonts w:ascii="Times New Roman" w:eastAsia="Times New Roman" w:hAnsi="Times New Roman" w:cs="Times New Roman"/>
      <w:color w:val="auto"/>
      <w:sz w:val="24"/>
      <w:szCs w:val="24"/>
    </w:rPr>
  </w:style>
  <w:style w:type="paragraph" w:styleId="Sidehoved">
    <w:name w:val="header"/>
    <w:basedOn w:val="Normal"/>
    <w:link w:val="SidehovedTegn"/>
    <w:uiPriority w:val="99"/>
    <w:unhideWhenUsed/>
    <w:rsid w:val="00537395"/>
    <w:pPr>
      <w:tabs>
        <w:tab w:val="center" w:pos="4819"/>
        <w:tab w:val="right" w:pos="9638"/>
      </w:tabs>
      <w:spacing w:after="0"/>
    </w:pPr>
  </w:style>
  <w:style w:type="character" w:customStyle="1" w:styleId="SidehovedTegn">
    <w:name w:val="Sidehoved Tegn"/>
    <w:basedOn w:val="Standardskrifttypeiafsnit"/>
    <w:link w:val="Sidehoved"/>
    <w:uiPriority w:val="99"/>
    <w:rsid w:val="00537395"/>
  </w:style>
  <w:style w:type="paragraph" w:styleId="Sidefod">
    <w:name w:val="footer"/>
    <w:basedOn w:val="Normal"/>
    <w:link w:val="SidefodTegn"/>
    <w:uiPriority w:val="99"/>
    <w:unhideWhenUsed/>
    <w:rsid w:val="00537395"/>
    <w:pPr>
      <w:tabs>
        <w:tab w:val="center" w:pos="4819"/>
        <w:tab w:val="right" w:pos="9638"/>
      </w:tabs>
      <w:spacing w:after="0"/>
    </w:pPr>
  </w:style>
  <w:style w:type="character" w:customStyle="1" w:styleId="SidefodTegn">
    <w:name w:val="Sidefod Tegn"/>
    <w:basedOn w:val="Standardskrifttypeiafsnit"/>
    <w:link w:val="Sidefod"/>
    <w:uiPriority w:val="99"/>
    <w:rsid w:val="00537395"/>
  </w:style>
  <w:style w:type="paragraph" w:styleId="Listeafsnit">
    <w:name w:val="List Paragraph"/>
    <w:basedOn w:val="Normal"/>
    <w:uiPriority w:val="34"/>
    <w:qFormat/>
    <w:rsid w:val="00D97D18"/>
    <w:pPr>
      <w:widowControl/>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lang w:eastAsia="en-US"/>
    </w:rPr>
  </w:style>
  <w:style w:type="character" w:styleId="BesgtLink">
    <w:name w:val="FollowedHyperlink"/>
    <w:basedOn w:val="Standardskrifttypeiafsnit"/>
    <w:uiPriority w:val="99"/>
    <w:semiHidden/>
    <w:unhideWhenUsed/>
    <w:rsid w:val="00FD2B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04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airway.dk"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paper.ipapercms.dk/UNICEFDanmark/Brnekonventionen/" TargetMode="External"/><Relationship Id="rId5" Type="http://schemas.openxmlformats.org/officeDocument/2006/relationships/footnotes" Target="footnotes.xml"/><Relationship Id="rId15" Type="http://schemas.openxmlformats.org/officeDocument/2006/relationships/hyperlink" Target="http://www.stairway.dk/undervisning/hjaelp" TargetMode="External"/><Relationship Id="rId10" Type="http://schemas.openxmlformats.org/officeDocument/2006/relationships/hyperlink" Target="http://hval.dk/mitcf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val.dk/mitcfu/" TargetMode="External"/><Relationship Id="rId14" Type="http://schemas.openxmlformats.org/officeDocument/2006/relationships/hyperlink" Target="http://www.stairway.dk/undervisning/fattigd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mitcfu.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899</Words>
  <Characters>5490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Tuffs</dc:creator>
  <cp:lastModifiedBy>Karin Abrahamsen (KAAB) | VIA</cp:lastModifiedBy>
  <cp:revision>2</cp:revision>
  <cp:lastPrinted>2018-01-09T11:51:00Z</cp:lastPrinted>
  <dcterms:created xsi:type="dcterms:W3CDTF">2018-01-09T12:20:00Z</dcterms:created>
  <dcterms:modified xsi:type="dcterms:W3CDTF">2018-01-09T12:20:00Z</dcterms:modified>
</cp:coreProperties>
</file>