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2F5" w:rsidRDefault="00EC22F5" w:rsidP="00EC22F5">
      <w:pPr>
        <w:pStyle w:val="Ingenafstand"/>
      </w:pPr>
    </w:p>
    <w:p w:rsidR="00EC22F5" w:rsidRDefault="00EC22F5" w:rsidP="00EC22F5">
      <w:pPr>
        <w:pStyle w:val="Ingenafstand"/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5811"/>
        <w:gridCol w:w="2262"/>
      </w:tblGrid>
      <w:tr w:rsidR="00EC22F5" w:rsidTr="00B8146F">
        <w:trPr>
          <w:trHeight w:val="209"/>
        </w:trPr>
        <w:tc>
          <w:tcPr>
            <w:tcW w:w="1555" w:type="dxa"/>
          </w:tcPr>
          <w:p w:rsidR="00EC22F5" w:rsidRPr="00893BC1" w:rsidRDefault="00EC22F5" w:rsidP="00B8146F">
            <w:pPr>
              <w:pStyle w:val="Overskrift1"/>
              <w:spacing w:before="0" w:after="120"/>
              <w:outlineLvl w:val="0"/>
            </w:pPr>
            <w:r w:rsidRPr="00332CD8">
              <w:rPr>
                <w:rFonts w:asciiTheme="minorHAnsi" w:hAnsiTheme="minorHAnsi"/>
                <w:color w:val="1D266B"/>
                <w:sz w:val="32"/>
                <w:szCs w:val="32"/>
              </w:rPr>
              <w:t>Titel</w:t>
            </w:r>
            <w:r>
              <w:rPr>
                <w:rFonts w:asciiTheme="minorHAnsi" w:hAnsiTheme="minorHAnsi"/>
                <w:color w:val="1D266B"/>
                <w:sz w:val="32"/>
                <w:szCs w:val="32"/>
              </w:rPr>
              <w:t xml:space="preserve"> </w:t>
            </w:r>
          </w:p>
        </w:tc>
        <w:tc>
          <w:tcPr>
            <w:tcW w:w="5811" w:type="dxa"/>
          </w:tcPr>
          <w:p w:rsidR="00EC22F5" w:rsidRPr="0076212A" w:rsidRDefault="00EC22F5" w:rsidP="00B8146F">
            <w:pPr>
              <w:pStyle w:val="Ingenafstand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Tyvens Tøs</w:t>
            </w:r>
          </w:p>
        </w:tc>
        <w:tc>
          <w:tcPr>
            <w:tcW w:w="2262" w:type="dxa"/>
            <w:vMerge w:val="restart"/>
          </w:tcPr>
          <w:p w:rsidR="00EC22F5" w:rsidRPr="004A0175" w:rsidRDefault="00EC22F5" w:rsidP="00B8146F">
            <w:pPr>
              <w:pStyle w:val="Ingenafstand"/>
              <w:rPr>
                <w:noProof/>
                <w:sz w:val="20"/>
                <w:szCs w:val="20"/>
                <w:lang w:eastAsia="da-DK"/>
              </w:rPr>
            </w:pPr>
            <w:r>
              <w:rPr>
                <w:noProof/>
                <w:sz w:val="20"/>
                <w:szCs w:val="20"/>
                <w:lang w:eastAsia="da-DK"/>
              </w:rPr>
              <w:t xml:space="preserve">  </w:t>
            </w: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52E1A7" wp14:editId="2EA7A4ED">
                      <wp:simplePos x="0" y="0"/>
                      <wp:positionH relativeFrom="margin">
                        <wp:posOffset>201295</wp:posOffset>
                      </wp:positionH>
                      <wp:positionV relativeFrom="paragraph">
                        <wp:posOffset>153670</wp:posOffset>
                      </wp:positionV>
                      <wp:extent cx="978535" cy="882650"/>
                      <wp:effectExtent l="0" t="0" r="12065" b="12700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535" cy="8826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C3860" id="Rektangel 4" o:spid="_x0000_s1026" style="position:absolute;margin-left:15.85pt;margin-top:12.1pt;width:77.05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" filled="f" strokecolor="#1f4d78 [1604]" strokeweight="1.25pt">
                      <v:stroke dashstyle="3 1"/>
                      <w10:wrap anchorx="margin"/>
                    </v:rect>
                  </w:pict>
                </mc:Fallback>
              </mc:AlternateContent>
            </w:r>
          </w:p>
          <w:p w:rsidR="00EC22F5" w:rsidRDefault="004A0175" w:rsidP="00B8146F">
            <w:pPr>
              <w:pStyle w:val="Ingenafstand"/>
            </w:pPr>
            <w:r>
              <w:rPr>
                <w:noProof/>
                <w:lang w:eastAsia="da-DK"/>
              </w:rPr>
              <w:t xml:space="preserve">        </w:t>
            </w:r>
            <w:r w:rsidRPr="004A0175">
              <w:rPr>
                <w:noProof/>
                <w:lang w:eastAsia="da-DK"/>
              </w:rPr>
              <w:drawing>
                <wp:inline distT="0" distB="0" distL="0" distR="0">
                  <wp:extent cx="866775" cy="866775"/>
                  <wp:effectExtent l="0" t="0" r="9525" b="9525"/>
                  <wp:docPr id="6" name="Billede 6" descr="C:\Users\meew\Pictures\Saved Pictures\qr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eew\Pictures\Saved Pictures\qr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2F5" w:rsidTr="00B8146F">
        <w:trPr>
          <w:trHeight w:val="206"/>
        </w:trPr>
        <w:tc>
          <w:tcPr>
            <w:tcW w:w="1555" w:type="dxa"/>
          </w:tcPr>
          <w:p w:rsidR="00EC22F5" w:rsidRDefault="00EC22F5" w:rsidP="00B8146F">
            <w:pPr>
              <w:pStyle w:val="Ingenafstand"/>
            </w:pPr>
            <w:r w:rsidRPr="00230C2A">
              <w:t>Tema:</w:t>
            </w:r>
          </w:p>
        </w:tc>
        <w:tc>
          <w:tcPr>
            <w:tcW w:w="5811" w:type="dxa"/>
          </w:tcPr>
          <w:p w:rsidR="00EC22F5" w:rsidRDefault="00EC22F5" w:rsidP="00B8146F">
            <w:pPr>
              <w:pStyle w:val="Ingenafstand"/>
            </w:pPr>
            <w:r>
              <w:t>Savn, fattigdom, historie, venskab, spøgelser.</w:t>
            </w:r>
          </w:p>
        </w:tc>
        <w:tc>
          <w:tcPr>
            <w:tcW w:w="2262" w:type="dxa"/>
            <w:vMerge/>
          </w:tcPr>
          <w:p w:rsidR="00EC22F5" w:rsidRDefault="00EC22F5" w:rsidP="00B8146F">
            <w:pPr>
              <w:pStyle w:val="Ingenafstand"/>
            </w:pPr>
          </w:p>
        </w:tc>
      </w:tr>
      <w:tr w:rsidR="00EC22F5" w:rsidTr="00B8146F">
        <w:trPr>
          <w:trHeight w:val="206"/>
        </w:trPr>
        <w:tc>
          <w:tcPr>
            <w:tcW w:w="1555" w:type="dxa"/>
          </w:tcPr>
          <w:p w:rsidR="00EC22F5" w:rsidRDefault="00EC22F5" w:rsidP="00B8146F">
            <w:pPr>
              <w:pStyle w:val="Ingenafstand"/>
            </w:pPr>
            <w:r>
              <w:t>Fag:</w:t>
            </w:r>
          </w:p>
        </w:tc>
        <w:tc>
          <w:tcPr>
            <w:tcW w:w="5811" w:type="dxa"/>
          </w:tcPr>
          <w:p w:rsidR="00EC22F5" w:rsidRDefault="00EC22F5" w:rsidP="00B8146F">
            <w:pPr>
              <w:pStyle w:val="Ingenafstand"/>
            </w:pPr>
            <w:r>
              <w:t>Dansk</w:t>
            </w:r>
            <w:r w:rsidR="004A0175">
              <w:t xml:space="preserve">                                                                                                                </w:t>
            </w:r>
          </w:p>
        </w:tc>
        <w:tc>
          <w:tcPr>
            <w:tcW w:w="2262" w:type="dxa"/>
            <w:vMerge/>
          </w:tcPr>
          <w:p w:rsidR="00EC22F5" w:rsidRDefault="00EC22F5" w:rsidP="00B8146F">
            <w:pPr>
              <w:pStyle w:val="Ingenafstand"/>
            </w:pPr>
          </w:p>
        </w:tc>
      </w:tr>
      <w:tr w:rsidR="00EC22F5" w:rsidTr="00B8146F">
        <w:trPr>
          <w:trHeight w:val="206"/>
        </w:trPr>
        <w:tc>
          <w:tcPr>
            <w:tcW w:w="1555" w:type="dxa"/>
          </w:tcPr>
          <w:p w:rsidR="00EC22F5" w:rsidRDefault="00EC22F5" w:rsidP="00B8146F">
            <w:pPr>
              <w:pStyle w:val="Ingenafstand"/>
            </w:pPr>
            <w:r>
              <w:t>Målgruppe:</w:t>
            </w:r>
          </w:p>
        </w:tc>
        <w:tc>
          <w:tcPr>
            <w:tcW w:w="5811" w:type="dxa"/>
          </w:tcPr>
          <w:p w:rsidR="00EC22F5" w:rsidRDefault="00EC22F5" w:rsidP="00B8146F">
            <w:pPr>
              <w:pStyle w:val="Ingenafstand"/>
            </w:pPr>
            <w:r>
              <w:t>4.-6. klasse</w:t>
            </w:r>
          </w:p>
        </w:tc>
        <w:tc>
          <w:tcPr>
            <w:tcW w:w="2262" w:type="dxa"/>
            <w:vMerge/>
          </w:tcPr>
          <w:p w:rsidR="00EC22F5" w:rsidRDefault="00EC22F5" w:rsidP="00B8146F">
            <w:pPr>
              <w:pStyle w:val="Ingenafstand"/>
            </w:pPr>
          </w:p>
        </w:tc>
      </w:tr>
      <w:tr w:rsidR="00EC22F5" w:rsidTr="00B8146F">
        <w:tc>
          <w:tcPr>
            <w:tcW w:w="1555" w:type="dxa"/>
          </w:tcPr>
          <w:p w:rsidR="00EC22F5" w:rsidRDefault="00EC22F5" w:rsidP="00B8146F">
            <w:pPr>
              <w:pStyle w:val="Ingenafstand"/>
            </w:pPr>
          </w:p>
        </w:tc>
        <w:tc>
          <w:tcPr>
            <w:tcW w:w="5811" w:type="dxa"/>
          </w:tcPr>
          <w:p w:rsidR="00EC22F5" w:rsidRDefault="00EC22F5" w:rsidP="00B8146F">
            <w:pPr>
              <w:pStyle w:val="Ingenafstand"/>
            </w:pPr>
          </w:p>
        </w:tc>
        <w:tc>
          <w:tcPr>
            <w:tcW w:w="2262" w:type="dxa"/>
            <w:vMerge/>
          </w:tcPr>
          <w:p w:rsidR="00EC22F5" w:rsidRDefault="00EC22F5" w:rsidP="00B8146F">
            <w:pPr>
              <w:pStyle w:val="Ingenafstand"/>
            </w:pPr>
          </w:p>
        </w:tc>
      </w:tr>
      <w:tr w:rsidR="00EC22F5" w:rsidTr="00B8146F">
        <w:trPr>
          <w:trHeight w:val="10050"/>
        </w:trPr>
        <w:tc>
          <w:tcPr>
            <w:tcW w:w="1555" w:type="dxa"/>
          </w:tcPr>
          <w:p w:rsidR="00EC22F5" w:rsidRDefault="00EC22F5" w:rsidP="00B8146F">
            <w:pPr>
              <w:pStyle w:val="Ingenafstand"/>
            </w:pPr>
            <w:r>
              <w:rPr>
                <w:noProof/>
                <w:lang w:eastAsia="da-DK"/>
              </w:rPr>
              <w:drawing>
                <wp:inline distT="0" distB="0" distL="0" distR="0" wp14:anchorId="6329E336" wp14:editId="58FE7D5C">
                  <wp:extent cx="720000" cy="2101622"/>
                  <wp:effectExtent l="0" t="0" r="4445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101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22F5" w:rsidRDefault="00EC22F5" w:rsidP="00B8146F">
            <w:pPr>
              <w:pStyle w:val="Ingenafstand"/>
            </w:pPr>
          </w:p>
          <w:p w:rsidR="00EC22F5" w:rsidRPr="00893BC1" w:rsidRDefault="00EC22F5" w:rsidP="00B8146F">
            <w:pPr>
              <w:pStyle w:val="Ingenafstand"/>
              <w:rPr>
                <w:sz w:val="16"/>
                <w:szCs w:val="16"/>
              </w:rPr>
            </w:pPr>
            <w:r w:rsidRPr="00893BC1">
              <w:rPr>
                <w:sz w:val="16"/>
                <w:szCs w:val="16"/>
              </w:rPr>
              <w:t>Faglige</w:t>
            </w:r>
            <w:r>
              <w:rPr>
                <w:sz w:val="16"/>
                <w:szCs w:val="16"/>
              </w:rPr>
              <w:t xml:space="preserve"> kategorier</w:t>
            </w:r>
            <w:r>
              <w:rPr>
                <w:sz w:val="16"/>
                <w:szCs w:val="16"/>
              </w:rPr>
              <w:br/>
              <w:t>(Max. 3)</w:t>
            </w:r>
          </w:p>
        </w:tc>
        <w:tc>
          <w:tcPr>
            <w:tcW w:w="8073" w:type="dxa"/>
            <w:gridSpan w:val="2"/>
          </w:tcPr>
          <w:p w:rsidR="00EC22F5" w:rsidRPr="002F588E" w:rsidRDefault="00EC22F5" w:rsidP="00B8146F">
            <w:pPr>
              <w:rPr>
                <w:sz w:val="24"/>
                <w:szCs w:val="24"/>
              </w:rPr>
            </w:pPr>
            <w:r w:rsidRPr="006225C8">
              <w:rPr>
                <w:sz w:val="24"/>
                <w:szCs w:val="24"/>
              </w:rPr>
              <w:t>Data om læremidlet:</w:t>
            </w:r>
            <w:r w:rsidR="002F588E">
              <w:rPr>
                <w:sz w:val="24"/>
                <w:szCs w:val="24"/>
              </w:rPr>
              <w:t xml:space="preserve"> </w:t>
            </w:r>
            <w:r w:rsidR="00B5730A">
              <w:rPr>
                <w:sz w:val="24"/>
                <w:szCs w:val="24"/>
              </w:rPr>
              <w:br/>
            </w:r>
            <w:r>
              <w:rPr>
                <w:b/>
              </w:rPr>
              <w:t>E</w:t>
            </w:r>
            <w:r w:rsidRPr="00A20BBF">
              <w:rPr>
                <w:b/>
              </w:rPr>
              <w:t>-bog:</w:t>
            </w:r>
            <w:r>
              <w:t xml:space="preserve"> Hanne Brandt, Høst &amp; Søn 2009.</w:t>
            </w:r>
          </w:p>
          <w:p w:rsidR="00EC22F5" w:rsidRDefault="00EC22F5" w:rsidP="00B8146F"/>
          <w:p w:rsidR="00EC22F5" w:rsidRDefault="00EC22F5" w:rsidP="00B8146F">
            <w:r>
              <w:t>Vejledningen her giver et overblik over den røde tråd i det pædagogiske overlay, der knytter sig til e-bogen ”Tyvens Tøs”. Det pædagogiske overlay kan bookes sammen med e-bogen og består af en række opgaver, refleksionsøvelser samt eksterne ressourcer, som eleverne tilgår gennem aktivering af markeringer i selve romanteksten. Overlayet giver derfor god mulighed for at arbejde meget tekstnært i fortolkningsfællesskabet.</w:t>
            </w:r>
            <w:r w:rsidR="006134E8">
              <w:br/>
            </w:r>
          </w:p>
          <w:p w:rsidR="00EC22F5" w:rsidRDefault="00EC22F5" w:rsidP="00B8146F">
            <w:pPr>
              <w:rPr>
                <w:b/>
                <w:color w:val="1D266B"/>
                <w:sz w:val="32"/>
                <w:szCs w:val="32"/>
              </w:rPr>
            </w:pPr>
            <w:r>
              <w:rPr>
                <w:b/>
                <w:color w:val="1D266B"/>
                <w:sz w:val="32"/>
                <w:szCs w:val="32"/>
              </w:rPr>
              <w:t>F</w:t>
            </w:r>
            <w:r w:rsidRPr="00B2737C">
              <w:rPr>
                <w:b/>
                <w:color w:val="1D266B"/>
                <w:sz w:val="32"/>
                <w:szCs w:val="32"/>
              </w:rPr>
              <w:t>aglig</w:t>
            </w:r>
            <w:r>
              <w:rPr>
                <w:b/>
                <w:color w:val="1D266B"/>
                <w:sz w:val="32"/>
                <w:szCs w:val="32"/>
              </w:rPr>
              <w:t xml:space="preserve"> relevans/kompetenceområder</w:t>
            </w:r>
          </w:p>
          <w:p w:rsidR="00EC22F5" w:rsidRDefault="00EC22F5" w:rsidP="00B8146F">
            <w:r>
              <w:t>Det pædagogiske overla</w:t>
            </w:r>
            <w:r w:rsidR="00594895">
              <w:t xml:space="preserve">y involverer </w:t>
            </w:r>
            <w:r>
              <w:t xml:space="preserve">kompetenceområderne </w:t>
            </w:r>
            <w:r>
              <w:rPr>
                <w:b/>
              </w:rPr>
              <w:t xml:space="preserve">Læsning </w:t>
            </w:r>
            <w:r>
              <w:t xml:space="preserve">og </w:t>
            </w:r>
            <w:r>
              <w:rPr>
                <w:b/>
              </w:rPr>
              <w:t>Fortolkning</w:t>
            </w:r>
            <w:r>
              <w:t xml:space="preserve"> og har et fokus på læseforståelse, ordkendskab og</w:t>
            </w:r>
            <w:r w:rsidR="00594895">
              <w:t xml:space="preserve"> mundtlig fortælling</w:t>
            </w:r>
            <w:r>
              <w:t xml:space="preserve">. </w:t>
            </w:r>
            <w:r w:rsidR="002F588E">
              <w:t xml:space="preserve">Derudover lægges der vægt på </w:t>
            </w:r>
            <w:r w:rsidR="006134E8">
              <w:t xml:space="preserve">elevernes personlige </w:t>
            </w:r>
            <w:r w:rsidR="002F588E">
              <w:t>refl</w:t>
            </w:r>
            <w:r w:rsidR="00D36824">
              <w:t>eksioner over temaet fattigdom</w:t>
            </w:r>
            <w:r w:rsidR="002F588E">
              <w:t>.</w:t>
            </w:r>
            <w:r>
              <w:br/>
            </w:r>
            <w:r>
              <w:br/>
              <w:t>Det nye, eleverne s</w:t>
            </w:r>
            <w:r w:rsidR="002F588E">
              <w:t xml:space="preserve">kal lære, </w:t>
            </w:r>
            <w:r>
              <w:t>kan udtrykkes i følgende læringsmål:</w:t>
            </w:r>
          </w:p>
          <w:p w:rsidR="00EC22F5" w:rsidRDefault="002F588E" w:rsidP="00EC22F5">
            <w:pPr>
              <w:pStyle w:val="Opstilling-punkttegn"/>
              <w:numPr>
                <w:ilvl w:val="0"/>
                <w:numId w:val="1"/>
              </w:numPr>
              <w:spacing w:after="0"/>
            </w:pPr>
            <w:r>
              <w:t xml:space="preserve">Eleverne forholder sig aktivt til </w:t>
            </w:r>
            <w:r w:rsidR="004F35EF">
              <w:t>ord og deres betydning</w:t>
            </w:r>
            <w:r>
              <w:t xml:space="preserve"> ved løbende at slå markerede ord </w:t>
            </w:r>
            <w:r w:rsidR="004F35EF">
              <w:t xml:space="preserve">i romanen </w:t>
            </w:r>
            <w:r>
              <w:t>op i e-bogens ordbog.</w:t>
            </w:r>
          </w:p>
          <w:p w:rsidR="00EC22F5" w:rsidRDefault="00EC22F5" w:rsidP="00B8146F">
            <w:pPr>
              <w:pStyle w:val="Opstilling-punkttegn"/>
              <w:ind w:left="360" w:hanging="360"/>
            </w:pPr>
          </w:p>
          <w:p w:rsidR="00EC22F5" w:rsidRDefault="002F588E" w:rsidP="002F588E">
            <w:pPr>
              <w:pStyle w:val="Opstilling-punkttegn"/>
              <w:numPr>
                <w:ilvl w:val="0"/>
                <w:numId w:val="1"/>
              </w:numPr>
              <w:spacing w:after="0"/>
            </w:pPr>
            <w:r>
              <w:t>Eleverne kan forberede og gennemføre en længere mundtlig (gen)fortælling.</w:t>
            </w:r>
            <w:r>
              <w:br/>
            </w:r>
          </w:p>
          <w:p w:rsidR="004F35EF" w:rsidRDefault="00EC22F5" w:rsidP="004F35EF">
            <w:pPr>
              <w:pStyle w:val="Opstilling-punkttegn"/>
              <w:numPr>
                <w:ilvl w:val="0"/>
                <w:numId w:val="1"/>
              </w:numPr>
              <w:spacing w:after="0"/>
            </w:pPr>
            <w:r>
              <w:t xml:space="preserve">Eleverne </w:t>
            </w:r>
            <w:r w:rsidR="002F588E">
              <w:t>kan med baggrund i et Venn-diagram fortælle om og diskutere forskelle og ligheder mellem 1800-tallets og nutidens fattigdom.</w:t>
            </w:r>
          </w:p>
          <w:p w:rsidR="00EC22F5" w:rsidRPr="004F35EF" w:rsidRDefault="004F35EF" w:rsidP="004F35EF">
            <w:pPr>
              <w:pStyle w:val="Opstilling-punkttegn"/>
              <w:spacing w:after="0"/>
              <w:ind w:left="360"/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br/>
            </w:r>
          </w:p>
          <w:p w:rsidR="00EC22F5" w:rsidRPr="00E919D4" w:rsidRDefault="00EC22F5" w:rsidP="00B8146F">
            <w:pPr>
              <w:pStyle w:val="Opstilling-punkttegn"/>
              <w:rPr>
                <w:rStyle w:val="Overskrift1Tegn"/>
                <w:b w:val="0"/>
                <w:bCs w:val="0"/>
              </w:rPr>
            </w:pPr>
            <w:r w:rsidRPr="00E919D4">
              <w:rPr>
                <w:rStyle w:val="Overskrift1Tegn"/>
                <w:color w:val="1D266B"/>
                <w:sz w:val="32"/>
                <w:szCs w:val="32"/>
              </w:rPr>
              <w:t>Overlayets konkrete udformning</w:t>
            </w:r>
          </w:p>
          <w:p w:rsidR="00EC22F5" w:rsidRDefault="00EC22F5" w:rsidP="00B8146F">
            <w:pPr>
              <w:pStyle w:val="Listeafsnit"/>
              <w:ind w:left="0"/>
              <w:rPr>
                <w:b/>
              </w:rPr>
            </w:pPr>
          </w:p>
          <w:p w:rsidR="00EC22F5" w:rsidRDefault="00EC22F5" w:rsidP="00B8146F">
            <w:pPr>
              <w:pStyle w:val="Listeafsnit"/>
              <w:ind w:left="0"/>
            </w:pPr>
            <w:r>
              <w:t>Overlayet organiserer sig omkring litteraturarbejdets traditionelle tre faser:</w:t>
            </w:r>
          </w:p>
          <w:p w:rsidR="00EC22F5" w:rsidRDefault="00EC22F5" w:rsidP="00B8146F">
            <w:pPr>
              <w:pStyle w:val="Listeafsnit"/>
              <w:ind w:left="0"/>
            </w:pPr>
          </w:p>
          <w:p w:rsidR="00EC22F5" w:rsidRDefault="00EC22F5" w:rsidP="00B8146F">
            <w:pPr>
              <w:pStyle w:val="Listeafsnit"/>
              <w:ind w:left="0"/>
              <w:rPr>
                <w:b/>
              </w:rPr>
            </w:pPr>
            <w:r>
              <w:rPr>
                <w:b/>
              </w:rPr>
              <w:t>Før du læser</w:t>
            </w:r>
          </w:p>
          <w:p w:rsidR="00EC22F5" w:rsidRDefault="00EC22F5" w:rsidP="00B8146F">
            <w:pPr>
              <w:pStyle w:val="Listeafsnit"/>
              <w:ind w:left="0"/>
            </w:pPr>
            <w:r>
              <w:t>For at få eleverne tunet ind på romanen</w:t>
            </w:r>
            <w:r w:rsidR="000219C6">
              <w:t>s univers er der på side 2</w:t>
            </w:r>
            <w:r w:rsidR="00594895">
              <w:t xml:space="preserve"> </w:t>
            </w:r>
            <w:r>
              <w:t>lagt markeringer ind i overlayet, der får læserne omkring:</w:t>
            </w:r>
          </w:p>
          <w:p w:rsidR="00EC22F5" w:rsidRDefault="006134E8" w:rsidP="00EC22F5">
            <w:pPr>
              <w:pStyle w:val="Opstilling-punkttegn"/>
              <w:numPr>
                <w:ilvl w:val="0"/>
                <w:numId w:val="5"/>
              </w:numPr>
              <w:spacing w:after="0"/>
            </w:pPr>
            <w:r>
              <w:t>Forside og handlingshypoteser</w:t>
            </w:r>
          </w:p>
          <w:p w:rsidR="00EC22F5" w:rsidRPr="006134E8" w:rsidRDefault="00D36824" w:rsidP="00594895">
            <w:pPr>
              <w:pStyle w:val="Opstilling-punkttegn"/>
              <w:numPr>
                <w:ilvl w:val="0"/>
                <w:numId w:val="5"/>
              </w:numPr>
              <w:spacing w:after="0"/>
            </w:pPr>
            <w:r>
              <w:t>Fotos</w:t>
            </w:r>
            <w:r w:rsidR="006134E8">
              <w:t xml:space="preserve"> fra t</w:t>
            </w:r>
            <w:r w:rsidR="00594895">
              <w:t>iden omkring 1850</w:t>
            </w:r>
            <w:r w:rsidR="006134E8" w:rsidRPr="006134E8">
              <w:t>, der kan give eleverne en forforståelse for romanens univers</w:t>
            </w:r>
          </w:p>
          <w:p w:rsidR="00EC22F5" w:rsidRDefault="00EC22F5" w:rsidP="00B8146F">
            <w:pPr>
              <w:pStyle w:val="Listeafsnit"/>
              <w:ind w:left="0"/>
              <w:rPr>
                <w:b/>
              </w:rPr>
            </w:pPr>
          </w:p>
          <w:p w:rsidR="00EC22F5" w:rsidRPr="00210837" w:rsidRDefault="00EC22F5" w:rsidP="00B8146F">
            <w:pPr>
              <w:pStyle w:val="Listeafsnit"/>
              <w:ind w:left="0"/>
              <w:rPr>
                <w:b/>
              </w:rPr>
            </w:pPr>
            <w:r>
              <w:rPr>
                <w:b/>
              </w:rPr>
              <w:lastRenderedPageBreak/>
              <w:t>Mens du læser</w:t>
            </w:r>
          </w:p>
          <w:p w:rsidR="00EC22F5" w:rsidRDefault="00EC22F5" w:rsidP="00B8146F">
            <w:pPr>
              <w:pStyle w:val="Listeafsnit"/>
              <w:ind w:left="0"/>
            </w:pPr>
            <w:r>
              <w:t>Overlayet</w:t>
            </w:r>
            <w:r w:rsidR="00D36824">
              <w:t xml:space="preserve"> består i selve læsefasen af tre</w:t>
            </w:r>
            <w:r>
              <w:t xml:space="preserve"> gennemgående opgaver:</w:t>
            </w:r>
          </w:p>
          <w:p w:rsidR="00D36824" w:rsidRDefault="00D36824" w:rsidP="00B8146F">
            <w:pPr>
              <w:pStyle w:val="Listeafsnit"/>
              <w:ind w:left="0"/>
            </w:pPr>
          </w:p>
          <w:p w:rsidR="004F35EF" w:rsidRDefault="004F35EF" w:rsidP="00B8146F">
            <w:pPr>
              <w:pStyle w:val="Listeafsnit"/>
              <w:ind w:left="0"/>
            </w:pPr>
          </w:p>
          <w:p w:rsidR="00EC22F5" w:rsidRDefault="004F35EF" w:rsidP="00963401">
            <w:pPr>
              <w:pStyle w:val="Listeafsnit"/>
              <w:numPr>
                <w:ilvl w:val="0"/>
                <w:numId w:val="7"/>
              </w:numPr>
            </w:pPr>
            <w:r>
              <w:rPr>
                <w:b/>
              </w:rPr>
              <w:t>Ordbog</w:t>
            </w:r>
            <w:r w:rsidR="006134E8">
              <w:rPr>
                <w:b/>
              </w:rPr>
              <w:t>sopslag</w:t>
            </w:r>
            <w:r w:rsidR="00D36824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="006134E8">
              <w:t>som skal give eleverne en bevidsthed om, hvor vigtigt det er at forholde sig aktivt til ord og deres betydning i læsningen af alle tekster. ”Tyvens Tøs” er en historisk roman, og derfor møder eleverne l</w:t>
            </w:r>
            <w:r w:rsidR="00D36824">
              <w:t>øbende ord, der</w:t>
            </w:r>
            <w:r w:rsidR="00963401">
              <w:t xml:space="preserve"> ikke længere er en del af det danske sprog. </w:t>
            </w:r>
          </w:p>
          <w:p w:rsidR="00EC22F5" w:rsidRPr="00594895" w:rsidRDefault="00594895" w:rsidP="00EC22F5">
            <w:pPr>
              <w:pStyle w:val="Opstilling-punkttegn"/>
              <w:numPr>
                <w:ilvl w:val="0"/>
                <w:numId w:val="3"/>
              </w:numPr>
              <w:spacing w:after="0"/>
              <w:rPr>
                <w:b/>
              </w:rPr>
            </w:pPr>
            <w:r w:rsidRPr="00594895">
              <w:rPr>
                <w:b/>
              </w:rPr>
              <w:t>Tjek din læseforståelse</w:t>
            </w:r>
            <w:r w:rsidR="00D36824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>
              <w:t>som er en quiz, eleverne kan bruge til at tjekke, om de har forstået handlingsgangen.</w:t>
            </w:r>
          </w:p>
          <w:p w:rsidR="00EC22F5" w:rsidRDefault="00EC22F5" w:rsidP="00B8146F">
            <w:pPr>
              <w:pStyle w:val="Opstilling-punkttegn"/>
            </w:pPr>
          </w:p>
          <w:p w:rsidR="00EC22F5" w:rsidRDefault="00D36824" w:rsidP="00D36824">
            <w:pPr>
              <w:pStyle w:val="Opstilling-punkttegn"/>
              <w:numPr>
                <w:ilvl w:val="0"/>
                <w:numId w:val="3"/>
              </w:numPr>
            </w:pPr>
            <w:r>
              <w:rPr>
                <w:b/>
              </w:rPr>
              <w:t xml:space="preserve">Stop og tænk, </w:t>
            </w:r>
            <w:r>
              <w:t>som er refleksionsopgaver, der skal få eleverne til at reflektere over indholdsmæssige elementer.</w:t>
            </w:r>
          </w:p>
          <w:p w:rsidR="00EC22F5" w:rsidRDefault="00EC22F5" w:rsidP="00B8146F">
            <w:pPr>
              <w:pStyle w:val="Opstilling-punkttegn"/>
            </w:pPr>
          </w:p>
          <w:p w:rsidR="00594895" w:rsidRDefault="00594895" w:rsidP="00B8146F">
            <w:pPr>
              <w:pStyle w:val="Opstilling-punkttegn"/>
              <w:rPr>
                <w:b/>
              </w:rPr>
            </w:pPr>
          </w:p>
          <w:p w:rsidR="009C0CD6" w:rsidRDefault="00EC22F5" w:rsidP="004F35EF">
            <w:pPr>
              <w:pStyle w:val="Opstilling-punkttegn"/>
            </w:pPr>
            <w:r>
              <w:rPr>
                <w:b/>
              </w:rPr>
              <w:t>Efter du har læst</w:t>
            </w:r>
            <w:r w:rsidR="009C0CD6">
              <w:rPr>
                <w:b/>
              </w:rPr>
              <w:br/>
            </w:r>
            <w:r w:rsidR="009C0CD6">
              <w:t>Efter læsningen af romanen skal eleverne i par forberede en længere mundtlig genfortælling. Det skal de gøre med udgangspunkt i udvalgte illustrationer fra bogen samt en række stikord</w:t>
            </w:r>
            <w:r w:rsidR="006604BB">
              <w:t>, der tvinger eleverne til at strække deres hverdagssprog (fx epidemi, gravkapel, begravelsesoptog)</w:t>
            </w:r>
            <w:r w:rsidR="009C0CD6">
              <w:t>. Disse ressourcer findes på</w:t>
            </w:r>
            <w:r w:rsidR="006604BB">
              <w:t xml:space="preserve"> siden med oversigt over romaner af samme forfatter.</w:t>
            </w:r>
          </w:p>
          <w:p w:rsidR="00EC22F5" w:rsidRPr="004F35EF" w:rsidRDefault="004F35EF" w:rsidP="004F35EF">
            <w:pPr>
              <w:pStyle w:val="Opstilling-punkttegn"/>
              <w:rPr>
                <w:b/>
              </w:rPr>
            </w:pPr>
            <w:r>
              <w:rPr>
                <w:b/>
              </w:rPr>
              <w:br/>
            </w:r>
            <w:r w:rsidR="00EC22F5">
              <w:t>Som afslutning på arbejdet med romanen</w:t>
            </w:r>
            <w:r>
              <w:t xml:space="preserve"> samles der op på temaet om fattigdom. Det sker helt konkret ved, at eleverne på klassen ser tv-udsendelsen </w:t>
            </w:r>
            <w:r>
              <w:rPr>
                <w:i/>
              </w:rPr>
              <w:t xml:space="preserve">Fra fattigvæsen til kontanthjælp (1). </w:t>
            </w:r>
            <w:r>
              <w:t xml:space="preserve">Til udsendelsen er udarbejdet et kapitelsæt, der foreslår en række </w:t>
            </w:r>
            <w:r w:rsidR="00963401">
              <w:t>nedslag</w:t>
            </w:r>
            <w:r>
              <w:t xml:space="preserve"> med oplæg til, hvordan koblingen mellem roman og dokumentarudsendelse kan foregå.</w:t>
            </w:r>
            <w:r w:rsidR="009C0CD6">
              <w:t xml:space="preserve"> Læreren tilgår udsendelsen og kapitelmærkningen via linket i e-bogens overlay eller via mitcfu.dk.</w:t>
            </w:r>
          </w:p>
          <w:p w:rsidR="00EC22F5" w:rsidRDefault="00EC22F5" w:rsidP="00B8146F">
            <w:pPr>
              <w:pStyle w:val="Listeafsnit"/>
              <w:ind w:left="0"/>
            </w:pPr>
          </w:p>
          <w:p w:rsidR="00EC22F5" w:rsidRDefault="00EC22F5" w:rsidP="00B8146F">
            <w:pPr>
              <w:pStyle w:val="Listeafsnit"/>
              <w:ind w:left="0"/>
              <w:rPr>
                <w:b/>
              </w:rPr>
            </w:pPr>
            <w:r>
              <w:rPr>
                <w:b/>
              </w:rPr>
              <w:t>Samlet oversigt over markeringsfarver i overlayet:</w:t>
            </w:r>
          </w:p>
          <w:p w:rsidR="00EC22F5" w:rsidRDefault="002751FB" w:rsidP="00EC22F5">
            <w:pPr>
              <w:pStyle w:val="Opstilling-punkttegn"/>
              <w:numPr>
                <w:ilvl w:val="0"/>
                <w:numId w:val="6"/>
              </w:numPr>
              <w:spacing w:after="0"/>
            </w:pPr>
            <w:r>
              <w:t>Brun</w:t>
            </w:r>
            <w:r w:rsidR="00EC22F5">
              <w:t xml:space="preserve">: ”Før du læser” og ”Efter du har læst” </w:t>
            </w:r>
          </w:p>
          <w:p w:rsidR="00EC22F5" w:rsidRDefault="00594895" w:rsidP="00EC22F5">
            <w:pPr>
              <w:pStyle w:val="Opstilling-punkttegn"/>
              <w:numPr>
                <w:ilvl w:val="0"/>
                <w:numId w:val="6"/>
              </w:numPr>
              <w:spacing w:after="0"/>
            </w:pPr>
            <w:r>
              <w:t>Grøn: Ordbogsopslag</w:t>
            </w:r>
          </w:p>
          <w:p w:rsidR="00EC22F5" w:rsidRDefault="007F023C" w:rsidP="00355102">
            <w:pPr>
              <w:pStyle w:val="Opstilling-punkttegn"/>
              <w:numPr>
                <w:ilvl w:val="0"/>
                <w:numId w:val="6"/>
              </w:numPr>
              <w:spacing w:after="0"/>
            </w:pPr>
            <w:r>
              <w:t>Rød</w:t>
            </w:r>
            <w:r w:rsidR="00594895">
              <w:t>: Tjek din læseforståelse</w:t>
            </w:r>
          </w:p>
          <w:p w:rsidR="00EC22F5" w:rsidRPr="00303A8A" w:rsidRDefault="007F023C" w:rsidP="00EC22F5">
            <w:pPr>
              <w:pStyle w:val="Opstilling-punkttegn"/>
              <w:numPr>
                <w:ilvl w:val="0"/>
                <w:numId w:val="6"/>
              </w:numPr>
              <w:spacing w:after="0"/>
            </w:pPr>
            <w:r>
              <w:t>Blå</w:t>
            </w:r>
            <w:r w:rsidR="00594895">
              <w:t>: Stop og tænk –</w:t>
            </w:r>
            <w:r w:rsidR="00355102">
              <w:t xml:space="preserve"> ref</w:t>
            </w:r>
            <w:r w:rsidR="00594895">
              <w:t>l</w:t>
            </w:r>
            <w:r w:rsidR="00355102">
              <w:t>e</w:t>
            </w:r>
            <w:r w:rsidR="00594895">
              <w:t>ksionsopgaver i par</w:t>
            </w:r>
          </w:p>
          <w:p w:rsidR="00EC22F5" w:rsidRPr="00332CD8" w:rsidRDefault="00EC22F5" w:rsidP="00B8146F">
            <w:pPr>
              <w:pStyle w:val="Overskrift1"/>
              <w:spacing w:before="240"/>
              <w:outlineLvl w:val="0"/>
              <w:rPr>
                <w:rFonts w:asciiTheme="minorHAnsi" w:hAnsiTheme="minorHAnsi"/>
                <w:color w:val="000066"/>
                <w:sz w:val="32"/>
                <w:szCs w:val="32"/>
              </w:rPr>
            </w:pPr>
            <w:r w:rsidRPr="00332CD8">
              <w:rPr>
                <w:rFonts w:asciiTheme="minorHAnsi" w:hAnsiTheme="minorHAnsi"/>
                <w:color w:val="000066"/>
                <w:sz w:val="32"/>
                <w:szCs w:val="32"/>
              </w:rPr>
              <w:t>Supplerende materialer</w:t>
            </w:r>
          </w:p>
          <w:p w:rsidR="00EC22F5" w:rsidRDefault="00EC22F5" w:rsidP="00B8146F"/>
          <w:p w:rsidR="00EC22F5" w:rsidRDefault="00EC22F5" w:rsidP="00B8146F">
            <w:r w:rsidRPr="000956E3">
              <w:t xml:space="preserve">Følgende er forslag til </w:t>
            </w:r>
            <w:r>
              <w:t>supplerende materialer, der</w:t>
            </w:r>
            <w:r w:rsidRPr="000956E3">
              <w:t xml:space="preserve"> kan lånes på dit lokale CFU.</w:t>
            </w:r>
            <w:r>
              <w:br/>
            </w:r>
          </w:p>
          <w:p w:rsidR="00EC22F5" w:rsidRDefault="002F588E" w:rsidP="00EC22F5">
            <w:pPr>
              <w:pStyle w:val="Opstilling-punkttegn"/>
              <w:numPr>
                <w:ilvl w:val="0"/>
                <w:numId w:val="4"/>
              </w:numPr>
              <w:spacing w:after="0"/>
            </w:pPr>
            <w:r>
              <w:rPr>
                <w:i/>
              </w:rPr>
              <w:t>Fra fattigvæsen til kontanthjælp (1)</w:t>
            </w:r>
            <w:r w:rsidR="00EC22F5">
              <w:rPr>
                <w:i/>
              </w:rPr>
              <w:t xml:space="preserve">, </w:t>
            </w:r>
            <w:r>
              <w:t>DR Kultur, 29</w:t>
            </w:r>
            <w:r w:rsidR="00EC22F5">
              <w:t xml:space="preserve"> </w:t>
            </w:r>
            <w:r>
              <w:t>minutter, ID.NR.: TV0000033146</w:t>
            </w:r>
          </w:p>
          <w:p w:rsidR="00EC22F5" w:rsidRDefault="00EC22F5" w:rsidP="002F588E">
            <w:pPr>
              <w:pStyle w:val="Opstilling-punkttegn"/>
              <w:spacing w:after="0"/>
              <w:ind w:left="720"/>
            </w:pPr>
          </w:p>
        </w:tc>
      </w:tr>
    </w:tbl>
    <w:p w:rsidR="00EC22F5" w:rsidRDefault="00EC22F5" w:rsidP="00EC22F5">
      <w:pPr>
        <w:pStyle w:val="Ingenafstand"/>
      </w:pPr>
    </w:p>
    <w:p w:rsidR="00EC22F5" w:rsidRDefault="00EC22F5" w:rsidP="00EC22F5">
      <w:pPr>
        <w:tabs>
          <w:tab w:val="left" w:pos="1304"/>
          <w:tab w:val="left" w:pos="8745"/>
        </w:tabs>
      </w:pPr>
    </w:p>
    <w:p w:rsidR="00EC22F5" w:rsidRDefault="00EC22F5" w:rsidP="00EC22F5">
      <w:pPr>
        <w:tabs>
          <w:tab w:val="left" w:pos="1304"/>
          <w:tab w:val="left" w:pos="8745"/>
        </w:tabs>
      </w:pPr>
    </w:p>
    <w:p w:rsidR="00EC22F5" w:rsidRPr="000E457C" w:rsidRDefault="00EC22F5" w:rsidP="00EC22F5"/>
    <w:p w:rsidR="003A52A3" w:rsidRDefault="009D1880"/>
    <w:sectPr w:rsidR="003A52A3" w:rsidSect="00230C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05" w:right="1134" w:bottom="1135" w:left="1134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880" w:rsidRDefault="009D1880" w:rsidP="00EC22F5">
      <w:pPr>
        <w:spacing w:after="0"/>
      </w:pPr>
      <w:r>
        <w:separator/>
      </w:r>
    </w:p>
  </w:endnote>
  <w:endnote w:type="continuationSeparator" w:id="0">
    <w:p w:rsidR="009D1880" w:rsidRDefault="009D1880" w:rsidP="00EC22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308" w:rsidRDefault="00FB130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667" w:rsidRDefault="000057A1" w:rsidP="00187667">
    <w:pPr>
      <w:pStyle w:val="Sidefo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D95C9E" wp14:editId="56C2E12E">
              <wp:simplePos x="0" y="0"/>
              <wp:positionH relativeFrom="column">
                <wp:posOffset>5582488</wp:posOffset>
              </wp:positionH>
              <wp:positionV relativeFrom="paragraph">
                <wp:posOffset>160655</wp:posOffset>
              </wp:positionV>
              <wp:extent cx="583565" cy="270406"/>
              <wp:effectExtent l="0" t="0" r="6985" b="0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565" cy="270406"/>
                        <a:chOff x="0" y="0"/>
                        <a:chExt cx="583565" cy="270406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175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D3E" w:rsidRPr="007A6D3E" w:rsidRDefault="000057A1" w:rsidP="007A6D3E">
                            <w:pPr>
                              <w:pStyle w:val="Sidefod"/>
                              <w:rPr>
                                <w:sz w:val="20"/>
                                <w:szCs w:val="20"/>
                              </w:rPr>
                            </w:pPr>
                            <w:bookmarkStart w:id="1" w:name="bmkOvsPage"/>
                            <w:r w:rsidRPr="007A6D3E">
                              <w:rPr>
                                <w:sz w:val="20"/>
                                <w:szCs w:val="20"/>
                              </w:rPr>
                              <w:t>Side</w:t>
                            </w:r>
                            <w:bookmarkEnd w:id="1"/>
                            <w:r w:rsidRPr="007A6D3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200557021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instrText xml:space="preserve"> PAGE </w:instrText>
                                </w:r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9D1880"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7A6D3E"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bookmarkStart w:id="2" w:name="bmkOvsOf"/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t>af</w:t>
                                </w:r>
                                <w:bookmarkEnd w:id="2"/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instrText xml:space="preserve"> SECTIONPAGES </w:instrText>
                                </w:r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9D1880"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7A6D3E"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Billede 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558" y="163667"/>
                          <a:ext cx="530138" cy="106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DD95C9E" id="Gruppe 3" o:spid="_x0000_s1026" style="position:absolute;margin-left:439.55pt;margin-top:12.65pt;width:45.95pt;height:21.3pt;z-index:251659264" coordsize="5835,27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width:583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" filled="f" stroked="f" strokecolor="black [3213]" strokeweight=".01pt">
                <v:textbox inset="0,0,0,0">
                  <w:txbxContent>
                    <w:p w:rsidR="007A6D3E" w:rsidRPr="007A6D3E" w:rsidRDefault="000057A1" w:rsidP="007A6D3E">
                      <w:pPr>
                        <w:pStyle w:val="Sidefod"/>
                        <w:rPr>
                          <w:sz w:val="20"/>
                          <w:szCs w:val="20"/>
                        </w:rPr>
                      </w:pPr>
                      <w:bookmarkStart w:id="3" w:name="bmkOvsPage"/>
                      <w:r w:rsidRPr="007A6D3E">
                        <w:rPr>
                          <w:sz w:val="20"/>
                          <w:szCs w:val="20"/>
                        </w:rPr>
                        <w:t>Side</w:t>
                      </w:r>
                      <w:bookmarkEnd w:id="3"/>
                      <w:r w:rsidRPr="007A6D3E"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200557021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r w:rsidRPr="007A6D3E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A6D3E"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7A6D3E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D1880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7A6D3E">
                            <w:rPr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  <w:r w:rsidRPr="007A6D3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bookmarkStart w:id="4" w:name="bmkOvsOf"/>
                          <w:r w:rsidRPr="007A6D3E">
                            <w:rPr>
                              <w:sz w:val="20"/>
                              <w:szCs w:val="20"/>
                            </w:rPr>
                            <w:t>af</w:t>
                          </w:r>
                          <w:bookmarkEnd w:id="4"/>
                          <w:r w:rsidRPr="007A6D3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6D3E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A6D3E">
                            <w:rPr>
                              <w:sz w:val="20"/>
                              <w:szCs w:val="20"/>
                            </w:rPr>
                            <w:instrText xml:space="preserve"> SECTIONPAGES </w:instrText>
                          </w:r>
                          <w:r w:rsidRPr="007A6D3E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D1880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7A6D3E">
                            <w:rPr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sdtContent>
                      </w:sdt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lede 15" o:spid="_x0000_s1028" type="#_x0000_t75" style="position:absolute;left:35;top:1636;width:5301;height:1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">
                <v:imagedata r:id="rId2" o:title=""/>
                <v:path arrowok="t"/>
              </v:shape>
            </v:group>
          </w:pict>
        </mc:Fallback>
      </mc:AlternateContent>
    </w:r>
    <w:r w:rsidR="009D1880">
      <w:pict>
        <v:rect id="_x0000_i1026" style="width:481.9pt;height:1.5pt;mso-position-horizontal:absolute;mso-position-vertical:absolute" o:hralign="center" o:hrstd="t" o:hrnoshade="t" o:hr="t" fillcolor="#006" stroked="f"/>
      </w:pict>
    </w:r>
  </w:p>
  <w:p w:rsidR="00187667" w:rsidRDefault="000057A1" w:rsidP="00187667">
    <w:pPr>
      <w:pStyle w:val="Sidefod"/>
      <w:rPr>
        <w:sz w:val="20"/>
        <w:szCs w:val="20"/>
      </w:rPr>
    </w:pPr>
    <w:r w:rsidRPr="007A6D3E">
      <w:rPr>
        <w:sz w:val="20"/>
        <w:szCs w:val="20"/>
      </w:rPr>
      <w:t xml:space="preserve">Udarbejdet af </w:t>
    </w:r>
    <w:r>
      <w:rPr>
        <w:sz w:val="20"/>
        <w:szCs w:val="20"/>
      </w:rPr>
      <w:t>Mette Bechmann Westergaard</w:t>
    </w:r>
    <w:r w:rsidRPr="007A6D3E">
      <w:rPr>
        <w:sz w:val="20"/>
        <w:szCs w:val="20"/>
      </w:rPr>
      <w:t>, CFU UC</w:t>
    </w:r>
    <w:r>
      <w:rPr>
        <w:sz w:val="20"/>
        <w:szCs w:val="20"/>
      </w:rPr>
      <w:t>SJ</w:t>
    </w:r>
    <w:r w:rsidRPr="007A6D3E">
      <w:rPr>
        <w:sz w:val="20"/>
        <w:szCs w:val="20"/>
      </w:rPr>
      <w:t xml:space="preserve">, </w:t>
    </w:r>
    <w:r w:rsidR="006134E8">
      <w:rPr>
        <w:sz w:val="20"/>
        <w:szCs w:val="20"/>
      </w:rPr>
      <w:t>december 2017</w:t>
    </w:r>
    <w:r w:rsidRPr="007A6D3E">
      <w:rPr>
        <w:sz w:val="20"/>
        <w:szCs w:val="20"/>
      </w:rPr>
      <w:tab/>
    </w:r>
  </w:p>
  <w:p w:rsidR="007A6D3E" w:rsidRPr="007A6D3E" w:rsidRDefault="006134E8" w:rsidP="00187667">
    <w:pPr>
      <w:pStyle w:val="Sidefod"/>
      <w:rPr>
        <w:sz w:val="20"/>
        <w:szCs w:val="20"/>
      </w:rPr>
    </w:pPr>
    <w:r>
      <w:rPr>
        <w:sz w:val="20"/>
        <w:szCs w:val="20"/>
      </w:rPr>
      <w:t>Tyvens Tøs</w:t>
    </w:r>
  </w:p>
  <w:p w:rsidR="00187667" w:rsidRDefault="009D188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308" w:rsidRDefault="00FB130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880" w:rsidRDefault="009D1880" w:rsidP="00EC22F5">
      <w:pPr>
        <w:spacing w:after="0"/>
      </w:pPr>
      <w:r>
        <w:separator/>
      </w:r>
    </w:p>
  </w:footnote>
  <w:footnote w:type="continuationSeparator" w:id="0">
    <w:p w:rsidR="009D1880" w:rsidRDefault="009D1880" w:rsidP="00EC22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308" w:rsidRDefault="00FB130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B04" w:rsidRDefault="000057A1" w:rsidP="00230C2A">
    <w:pPr>
      <w:pStyle w:val="Sidehoved"/>
      <w:tabs>
        <w:tab w:val="clear" w:pos="4819"/>
        <w:tab w:val="center" w:pos="0"/>
        <w:tab w:val="left" w:pos="4253"/>
      </w:tabs>
      <w:jc w:val="right"/>
      <w:rPr>
        <w:b/>
      </w:rPr>
    </w:pPr>
    <w:r w:rsidRPr="0048361D">
      <w:rPr>
        <w:noProof/>
        <w:lang w:eastAsia="da-DK"/>
      </w:rPr>
      <w:drawing>
        <wp:anchor distT="0" distB="0" distL="114300" distR="114300" simplePos="0" relativeHeight="251660288" behindDoc="0" locked="0" layoutInCell="1" allowOverlap="1" wp14:anchorId="33A3D316" wp14:editId="2EE5B83A">
          <wp:simplePos x="0" y="0"/>
          <wp:positionH relativeFrom="margin">
            <wp:posOffset>13335</wp:posOffset>
          </wp:positionH>
          <wp:positionV relativeFrom="paragraph">
            <wp:posOffset>9525</wp:posOffset>
          </wp:positionV>
          <wp:extent cx="2362200" cy="354965"/>
          <wp:effectExtent l="0" t="0" r="0" b="6985"/>
          <wp:wrapSquare wrapText="bothSides"/>
          <wp:docPr id="5" name="Billede 5" descr="N:\Adm\CFU\Kommunikation\CFU Danmark\Logoer\Logo - CFU\Logo - tekst høj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:\Adm\CFU\Kommunikation\CFU Danmark\Logoer\Logo - CFU\Logo - tekst højr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ab/>
    </w:r>
    <w:r>
      <w:rPr>
        <w:b/>
      </w:rPr>
      <w:tab/>
    </w:r>
  </w:p>
  <w:p w:rsidR="000219C6" w:rsidRDefault="000057A1" w:rsidP="000219C6">
    <w:pPr>
      <w:pStyle w:val="Sidehoved"/>
      <w:tabs>
        <w:tab w:val="clear" w:pos="4819"/>
        <w:tab w:val="center" w:pos="0"/>
        <w:tab w:val="left" w:pos="4253"/>
      </w:tabs>
      <w:jc w:val="right"/>
    </w:pPr>
    <w:r>
      <w:t>Pædagogisk vejledning</w:t>
    </w:r>
    <w:r w:rsidR="00FB1308">
      <w:br/>
      <w:t>http://mitcfu.dk/</w:t>
    </w:r>
    <w:r w:rsidR="00FB1308" w:rsidRPr="00FB1308">
      <w:t>CFUEBOG1066355</w:t>
    </w:r>
    <w:bookmarkStart w:id="0" w:name="_GoBack"/>
    <w:bookmarkEnd w:id="0"/>
  </w:p>
  <w:p w:rsidR="000219C6" w:rsidRDefault="000219C6" w:rsidP="000219C6">
    <w:pPr>
      <w:pStyle w:val="Sidehoved"/>
      <w:tabs>
        <w:tab w:val="clear" w:pos="4819"/>
        <w:tab w:val="center" w:pos="0"/>
        <w:tab w:val="left" w:pos="4253"/>
      </w:tabs>
      <w:jc w:val="right"/>
    </w:pPr>
  </w:p>
  <w:p w:rsidR="00187667" w:rsidRDefault="009D1880" w:rsidP="00187667">
    <w:pPr>
      <w:pStyle w:val="Sidehoved"/>
      <w:jc w:val="right"/>
    </w:pPr>
    <w:r>
      <w:pict>
        <v:rect id="_x0000_i1025" style="width:481.9pt;height:1.5pt;mso-position-horizontal:absolute;mso-position-vertical:absolute" o:hralign="center" o:hrstd="t" o:hrnoshade="t" o:hr="t" fillcolor="#006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308" w:rsidRDefault="00FB130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591"/>
    <w:multiLevelType w:val="hybridMultilevel"/>
    <w:tmpl w:val="9760E0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14641"/>
    <w:multiLevelType w:val="hybridMultilevel"/>
    <w:tmpl w:val="D90634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B479D"/>
    <w:multiLevelType w:val="hybridMultilevel"/>
    <w:tmpl w:val="3758A1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75FC2"/>
    <w:multiLevelType w:val="hybridMultilevel"/>
    <w:tmpl w:val="B9D6F7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425A3"/>
    <w:multiLevelType w:val="hybridMultilevel"/>
    <w:tmpl w:val="F892B9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80A9B"/>
    <w:multiLevelType w:val="hybridMultilevel"/>
    <w:tmpl w:val="FE0CC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92BD2"/>
    <w:multiLevelType w:val="hybridMultilevel"/>
    <w:tmpl w:val="9C32CC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F5"/>
    <w:rsid w:val="000057A1"/>
    <w:rsid w:val="000219C6"/>
    <w:rsid w:val="00170DB6"/>
    <w:rsid w:val="002751FB"/>
    <w:rsid w:val="002F588E"/>
    <w:rsid w:val="00355102"/>
    <w:rsid w:val="004A0175"/>
    <w:rsid w:val="004F35EF"/>
    <w:rsid w:val="00594895"/>
    <w:rsid w:val="006134E8"/>
    <w:rsid w:val="006604BB"/>
    <w:rsid w:val="00682CFE"/>
    <w:rsid w:val="007F023C"/>
    <w:rsid w:val="0094274A"/>
    <w:rsid w:val="00963401"/>
    <w:rsid w:val="009C0CD6"/>
    <w:rsid w:val="009D1880"/>
    <w:rsid w:val="00B273D1"/>
    <w:rsid w:val="00B5730A"/>
    <w:rsid w:val="00B9000C"/>
    <w:rsid w:val="00D36824"/>
    <w:rsid w:val="00E275BF"/>
    <w:rsid w:val="00EB73D2"/>
    <w:rsid w:val="00EC22F5"/>
    <w:rsid w:val="00FB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EB8DB"/>
  <w15:chartTrackingRefBased/>
  <w15:docId w15:val="{418119D2-2F9F-423A-8F41-0EE0DDE4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F5"/>
    <w:pPr>
      <w:spacing w:after="20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EC22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C22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idehoved">
    <w:name w:val="header"/>
    <w:basedOn w:val="Normal"/>
    <w:link w:val="SidehovedTegn"/>
    <w:uiPriority w:val="99"/>
    <w:unhideWhenUsed/>
    <w:rsid w:val="00EC22F5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EC22F5"/>
  </w:style>
  <w:style w:type="paragraph" w:styleId="Sidefod">
    <w:name w:val="footer"/>
    <w:basedOn w:val="Normal"/>
    <w:link w:val="SidefodTegn"/>
    <w:uiPriority w:val="2"/>
    <w:unhideWhenUsed/>
    <w:rsid w:val="00EC22F5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2"/>
    <w:rsid w:val="00EC22F5"/>
  </w:style>
  <w:style w:type="character" w:styleId="Hyperlink">
    <w:name w:val="Hyperlink"/>
    <w:basedOn w:val="Standardskrifttypeiafsnit"/>
    <w:unhideWhenUsed/>
    <w:rsid w:val="00EC22F5"/>
    <w:rPr>
      <w:color w:val="0563C1" w:themeColor="hyperlink"/>
      <w:u w:val="single"/>
    </w:rPr>
  </w:style>
  <w:style w:type="paragraph" w:styleId="Listeafsnit">
    <w:name w:val="List Paragraph"/>
    <w:basedOn w:val="Normal"/>
    <w:qFormat/>
    <w:rsid w:val="00EC22F5"/>
    <w:pPr>
      <w:ind w:left="720"/>
      <w:contextualSpacing/>
    </w:pPr>
  </w:style>
  <w:style w:type="paragraph" w:styleId="Ingenafstand">
    <w:name w:val="No Spacing"/>
    <w:uiPriority w:val="1"/>
    <w:qFormat/>
    <w:rsid w:val="00EC22F5"/>
    <w:pPr>
      <w:spacing w:after="0" w:line="240" w:lineRule="auto"/>
    </w:pPr>
  </w:style>
  <w:style w:type="table" w:styleId="Tabel-Gitter">
    <w:name w:val="Table Grid"/>
    <w:basedOn w:val="Tabel-Normal"/>
    <w:uiPriority w:val="59"/>
    <w:rsid w:val="00EC2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99"/>
    <w:unhideWhenUsed/>
    <w:rsid w:val="00EC22F5"/>
    <w:pPr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0219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Bechmann Westergaard</dc:creator>
  <cp:keywords/>
  <dc:description/>
  <cp:lastModifiedBy>Karin Abrahamsen (KAAB) | VIA</cp:lastModifiedBy>
  <cp:revision>2</cp:revision>
  <dcterms:created xsi:type="dcterms:W3CDTF">2017-12-08T08:58:00Z</dcterms:created>
  <dcterms:modified xsi:type="dcterms:W3CDTF">2017-12-08T08:58:00Z</dcterms:modified>
</cp:coreProperties>
</file>