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F5" w:rsidRDefault="00EC22F5" w:rsidP="00EC22F5">
      <w:pPr>
        <w:pStyle w:val="Ingenafstand"/>
      </w:pPr>
      <w:bookmarkStart w:id="0" w:name="_GoBack"/>
      <w:bookmarkEnd w:id="0"/>
    </w:p>
    <w:p w:rsidR="00EC22F5" w:rsidRDefault="00EC22F5" w:rsidP="00EC22F5">
      <w:pPr>
        <w:pStyle w:val="Ingenafstand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811"/>
        <w:gridCol w:w="2262"/>
      </w:tblGrid>
      <w:tr w:rsidR="00EC22F5" w:rsidTr="00B8146F">
        <w:trPr>
          <w:trHeight w:val="209"/>
        </w:trPr>
        <w:tc>
          <w:tcPr>
            <w:tcW w:w="1555" w:type="dxa"/>
          </w:tcPr>
          <w:p w:rsidR="00EC22F5" w:rsidRPr="00893BC1" w:rsidRDefault="00EC22F5" w:rsidP="00B8146F">
            <w:pPr>
              <w:pStyle w:val="Overskrift1"/>
              <w:spacing w:before="0" w:after="120"/>
              <w:outlineLvl w:val="0"/>
            </w:pPr>
            <w:r w:rsidRPr="00332CD8">
              <w:rPr>
                <w:rFonts w:asciiTheme="minorHAnsi" w:hAnsiTheme="minorHAnsi"/>
                <w:color w:val="1D266B"/>
                <w:sz w:val="32"/>
                <w:szCs w:val="32"/>
              </w:rPr>
              <w:t>Titel</w:t>
            </w:r>
            <w:r>
              <w:rPr>
                <w:rFonts w:asciiTheme="minorHAnsi" w:hAnsiTheme="minorHAnsi"/>
                <w:color w:val="1D266B"/>
                <w:sz w:val="32"/>
                <w:szCs w:val="32"/>
              </w:rPr>
              <w:t xml:space="preserve"> </w:t>
            </w:r>
          </w:p>
        </w:tc>
        <w:tc>
          <w:tcPr>
            <w:tcW w:w="5811" w:type="dxa"/>
          </w:tcPr>
          <w:p w:rsidR="00EC22F5" w:rsidRPr="0076212A" w:rsidRDefault="00FC46D2" w:rsidP="00B8146F">
            <w:pPr>
              <w:pStyle w:val="Ing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Kviksand</w:t>
            </w:r>
          </w:p>
        </w:tc>
        <w:tc>
          <w:tcPr>
            <w:tcW w:w="2262" w:type="dxa"/>
            <w:vMerge w:val="restart"/>
          </w:tcPr>
          <w:p w:rsidR="00EC22F5" w:rsidRPr="004A0175" w:rsidRDefault="00EC22F5" w:rsidP="00B8146F">
            <w:pPr>
              <w:pStyle w:val="Ingenafstand"/>
              <w:rPr>
                <w:noProof/>
                <w:sz w:val="20"/>
                <w:szCs w:val="20"/>
                <w:lang w:eastAsia="da-DK"/>
              </w:rPr>
            </w:pPr>
            <w:r>
              <w:rPr>
                <w:noProof/>
                <w:sz w:val="20"/>
                <w:szCs w:val="20"/>
                <w:lang w:eastAsia="da-DK"/>
              </w:rPr>
              <w:t xml:space="preserve">  </w:t>
            </w:r>
          </w:p>
          <w:p w:rsidR="00EC22F5" w:rsidRDefault="004A0175" w:rsidP="00B8146F">
            <w:pPr>
              <w:pStyle w:val="Ingenafstand"/>
            </w:pPr>
            <w:r>
              <w:rPr>
                <w:noProof/>
                <w:lang w:eastAsia="da-DK"/>
              </w:rPr>
              <w:t xml:space="preserve">        </w:t>
            </w:r>
            <w:r w:rsidR="00C378C2">
              <w:rPr>
                <w:noProof/>
                <w:lang w:eastAsia="da-DK"/>
              </w:rPr>
              <w:drawing>
                <wp:inline distT="0" distB="0" distL="0" distR="0" wp14:anchorId="404D65FD" wp14:editId="62AFA81B">
                  <wp:extent cx="1066885" cy="1057275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69413" t="28511" r="13312" b="41040"/>
                          <a:stretch/>
                        </pic:blipFill>
                        <pic:spPr bwMode="auto">
                          <a:xfrm>
                            <a:off x="0" y="0"/>
                            <a:ext cx="1086076" cy="1076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F5" w:rsidTr="00B8146F">
        <w:trPr>
          <w:trHeight w:val="206"/>
        </w:trPr>
        <w:tc>
          <w:tcPr>
            <w:tcW w:w="1555" w:type="dxa"/>
          </w:tcPr>
          <w:p w:rsidR="00EC22F5" w:rsidRDefault="00EC22F5" w:rsidP="00B8146F">
            <w:pPr>
              <w:pStyle w:val="Ingenafstand"/>
            </w:pPr>
            <w:r w:rsidRPr="00230C2A">
              <w:t>Tema:</w:t>
            </w:r>
          </w:p>
        </w:tc>
        <w:tc>
          <w:tcPr>
            <w:tcW w:w="5811" w:type="dxa"/>
          </w:tcPr>
          <w:p w:rsidR="00EC22F5" w:rsidRDefault="00A57234" w:rsidP="00B8146F">
            <w:pPr>
              <w:pStyle w:val="Ingenafstand"/>
            </w:pPr>
            <w:r>
              <w:t>Sorg, forelskelse, venskab</w:t>
            </w:r>
          </w:p>
        </w:tc>
        <w:tc>
          <w:tcPr>
            <w:tcW w:w="2262" w:type="dxa"/>
            <w:vMerge/>
          </w:tcPr>
          <w:p w:rsidR="00EC22F5" w:rsidRDefault="00EC22F5" w:rsidP="00B8146F">
            <w:pPr>
              <w:pStyle w:val="Ingenafstand"/>
            </w:pPr>
          </w:p>
        </w:tc>
      </w:tr>
      <w:tr w:rsidR="00EC22F5" w:rsidTr="00B8146F">
        <w:trPr>
          <w:trHeight w:val="206"/>
        </w:trPr>
        <w:tc>
          <w:tcPr>
            <w:tcW w:w="1555" w:type="dxa"/>
          </w:tcPr>
          <w:p w:rsidR="00EC22F5" w:rsidRDefault="00EC22F5" w:rsidP="00B8146F">
            <w:pPr>
              <w:pStyle w:val="Ingenafstand"/>
            </w:pPr>
            <w:r>
              <w:t>Fag:</w:t>
            </w:r>
          </w:p>
        </w:tc>
        <w:tc>
          <w:tcPr>
            <w:tcW w:w="5811" w:type="dxa"/>
          </w:tcPr>
          <w:p w:rsidR="00EC22F5" w:rsidRDefault="00EC22F5" w:rsidP="00B8146F">
            <w:pPr>
              <w:pStyle w:val="Ingenafstand"/>
            </w:pPr>
            <w:r>
              <w:t>Dansk</w:t>
            </w:r>
            <w:r w:rsidR="004A0175">
              <w:t xml:space="preserve">                                                                                                                </w:t>
            </w:r>
          </w:p>
        </w:tc>
        <w:tc>
          <w:tcPr>
            <w:tcW w:w="2262" w:type="dxa"/>
            <w:vMerge/>
          </w:tcPr>
          <w:p w:rsidR="00EC22F5" w:rsidRDefault="00EC22F5" w:rsidP="00B8146F">
            <w:pPr>
              <w:pStyle w:val="Ingenafstand"/>
            </w:pPr>
          </w:p>
        </w:tc>
      </w:tr>
      <w:tr w:rsidR="00EC22F5" w:rsidTr="00B8146F">
        <w:trPr>
          <w:trHeight w:val="206"/>
        </w:trPr>
        <w:tc>
          <w:tcPr>
            <w:tcW w:w="1555" w:type="dxa"/>
          </w:tcPr>
          <w:p w:rsidR="00EC22F5" w:rsidRDefault="00EC22F5" w:rsidP="00B8146F">
            <w:pPr>
              <w:pStyle w:val="Ingenafstand"/>
            </w:pPr>
            <w:r>
              <w:t>Målgruppe:</w:t>
            </w:r>
          </w:p>
        </w:tc>
        <w:tc>
          <w:tcPr>
            <w:tcW w:w="5811" w:type="dxa"/>
          </w:tcPr>
          <w:p w:rsidR="00EC22F5" w:rsidRDefault="00FC46D2" w:rsidP="00B8146F">
            <w:pPr>
              <w:pStyle w:val="Ingenafstand"/>
            </w:pPr>
            <w:r>
              <w:t>6.-8</w:t>
            </w:r>
            <w:r w:rsidR="00EC22F5">
              <w:t>. klasse</w:t>
            </w:r>
          </w:p>
        </w:tc>
        <w:tc>
          <w:tcPr>
            <w:tcW w:w="2262" w:type="dxa"/>
            <w:vMerge/>
          </w:tcPr>
          <w:p w:rsidR="00EC22F5" w:rsidRDefault="00EC22F5" w:rsidP="00B8146F">
            <w:pPr>
              <w:pStyle w:val="Ingenafstand"/>
            </w:pPr>
          </w:p>
        </w:tc>
      </w:tr>
      <w:tr w:rsidR="00EC22F5" w:rsidTr="00B8146F">
        <w:tc>
          <w:tcPr>
            <w:tcW w:w="1555" w:type="dxa"/>
          </w:tcPr>
          <w:p w:rsidR="00EC22F5" w:rsidRDefault="00EC22F5" w:rsidP="00B8146F">
            <w:pPr>
              <w:pStyle w:val="Ingenafstand"/>
            </w:pPr>
          </w:p>
        </w:tc>
        <w:tc>
          <w:tcPr>
            <w:tcW w:w="5811" w:type="dxa"/>
          </w:tcPr>
          <w:p w:rsidR="00EC22F5" w:rsidRDefault="00EC22F5" w:rsidP="00B8146F">
            <w:pPr>
              <w:pStyle w:val="Ingenafstand"/>
            </w:pPr>
          </w:p>
        </w:tc>
        <w:tc>
          <w:tcPr>
            <w:tcW w:w="2262" w:type="dxa"/>
            <w:vMerge/>
          </w:tcPr>
          <w:p w:rsidR="00EC22F5" w:rsidRDefault="00EC22F5" w:rsidP="00B8146F">
            <w:pPr>
              <w:pStyle w:val="Ingenafstand"/>
            </w:pPr>
          </w:p>
        </w:tc>
      </w:tr>
      <w:tr w:rsidR="00EC22F5" w:rsidTr="00B8146F">
        <w:trPr>
          <w:trHeight w:val="10050"/>
        </w:trPr>
        <w:tc>
          <w:tcPr>
            <w:tcW w:w="1555" w:type="dxa"/>
          </w:tcPr>
          <w:p w:rsidR="00EC22F5" w:rsidRDefault="00EC22F5" w:rsidP="00B8146F">
            <w:pPr>
              <w:pStyle w:val="Ingenafstand"/>
            </w:pPr>
            <w:r>
              <w:rPr>
                <w:noProof/>
                <w:lang w:eastAsia="da-DK"/>
              </w:rPr>
              <w:drawing>
                <wp:inline distT="0" distB="0" distL="0" distR="0" wp14:anchorId="6329E336" wp14:editId="58FE7D5C">
                  <wp:extent cx="720000" cy="2101622"/>
                  <wp:effectExtent l="0" t="0" r="444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0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F5" w:rsidRDefault="00EC22F5" w:rsidP="00B8146F">
            <w:pPr>
              <w:pStyle w:val="Ingenafstand"/>
            </w:pPr>
          </w:p>
          <w:p w:rsidR="00EC22F5" w:rsidRPr="00893BC1" w:rsidRDefault="00EC22F5" w:rsidP="00B8146F">
            <w:pPr>
              <w:pStyle w:val="Ingenafstand"/>
              <w:rPr>
                <w:sz w:val="16"/>
                <w:szCs w:val="16"/>
              </w:rPr>
            </w:pPr>
            <w:r w:rsidRPr="00893BC1">
              <w:rPr>
                <w:sz w:val="16"/>
                <w:szCs w:val="16"/>
              </w:rPr>
              <w:t>Faglige</w:t>
            </w:r>
            <w:r>
              <w:rPr>
                <w:sz w:val="16"/>
                <w:szCs w:val="16"/>
              </w:rPr>
              <w:t xml:space="preserve"> kategorier</w:t>
            </w:r>
            <w:r>
              <w:rPr>
                <w:sz w:val="16"/>
                <w:szCs w:val="16"/>
              </w:rPr>
              <w:br/>
              <w:t>(Max. 3)</w:t>
            </w:r>
          </w:p>
        </w:tc>
        <w:tc>
          <w:tcPr>
            <w:tcW w:w="8073" w:type="dxa"/>
            <w:gridSpan w:val="2"/>
          </w:tcPr>
          <w:p w:rsidR="00EC22F5" w:rsidRPr="002F588E" w:rsidRDefault="00EC22F5" w:rsidP="00B8146F">
            <w:pPr>
              <w:rPr>
                <w:sz w:val="24"/>
                <w:szCs w:val="24"/>
              </w:rPr>
            </w:pPr>
            <w:r w:rsidRPr="006225C8">
              <w:rPr>
                <w:sz w:val="24"/>
                <w:szCs w:val="24"/>
              </w:rPr>
              <w:t>Data om læremidlet:</w:t>
            </w:r>
            <w:r w:rsidR="002F588E">
              <w:rPr>
                <w:sz w:val="24"/>
                <w:szCs w:val="24"/>
              </w:rPr>
              <w:t xml:space="preserve"> </w:t>
            </w:r>
            <w:r w:rsidR="00B5730A">
              <w:rPr>
                <w:sz w:val="24"/>
                <w:szCs w:val="24"/>
              </w:rPr>
              <w:br/>
            </w:r>
            <w:r>
              <w:rPr>
                <w:b/>
              </w:rPr>
              <w:t>E</w:t>
            </w:r>
            <w:r w:rsidRPr="00A20BBF">
              <w:rPr>
                <w:b/>
              </w:rPr>
              <w:t>-bog:</w:t>
            </w:r>
            <w:r w:rsidR="00FC46D2">
              <w:t xml:space="preserve"> Daniel Zimakoff, Kviksand, Gyldendal 2017</w:t>
            </w:r>
          </w:p>
          <w:p w:rsidR="00EC22F5" w:rsidRDefault="00EC22F5" w:rsidP="00B8146F"/>
          <w:p w:rsidR="00EC22F5" w:rsidRDefault="00EC22F5" w:rsidP="00B8146F">
            <w:r>
              <w:t>Vejledningen her giver et overblik over den røde tråd i det pædagogiske overlay, der kny</w:t>
            </w:r>
            <w:r w:rsidR="00FC46D2">
              <w:t>tter sig til e-bogen ”Kviksand</w:t>
            </w:r>
            <w:r>
              <w:t>”. Det pædagogiske overlay kan bookes sammen med e-bogen og består af en række opgaver, refleksions</w:t>
            </w:r>
            <w:r w:rsidR="00A3086D">
              <w:t>øvelser samt eksterne ressourcer</w:t>
            </w:r>
            <w:r>
              <w:t>, som eleverne tilgår gennem aktivering af markeringer i selve romanteksten. Overlayet giver derfor god mulighed for at arbejde meget tekstnært i fortolkningsfællesskabet.</w:t>
            </w:r>
            <w:r w:rsidR="006134E8">
              <w:br/>
            </w:r>
          </w:p>
          <w:p w:rsidR="00EC22F5" w:rsidRDefault="00EC22F5" w:rsidP="00B8146F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</w:t>
            </w:r>
            <w:r w:rsidRPr="00B2737C">
              <w:rPr>
                <w:b/>
                <w:color w:val="1D266B"/>
                <w:sz w:val="32"/>
                <w:szCs w:val="32"/>
              </w:rPr>
              <w:t>aglig</w:t>
            </w:r>
            <w:r>
              <w:rPr>
                <w:b/>
                <w:color w:val="1D266B"/>
                <w:sz w:val="32"/>
                <w:szCs w:val="32"/>
              </w:rPr>
              <w:t xml:space="preserve"> relevans/kompetenceområder</w:t>
            </w:r>
          </w:p>
          <w:p w:rsidR="00EC22F5" w:rsidRDefault="00952DCF" w:rsidP="00B8146F">
            <w:r>
              <w:t>Det pædagogiske overlay</w:t>
            </w:r>
            <w:r w:rsidR="00594895">
              <w:t xml:space="preserve"> involverer </w:t>
            </w:r>
            <w:r w:rsidR="00A3086D">
              <w:t>kompetenceområdet</w:t>
            </w:r>
            <w:r w:rsidR="00EC22F5">
              <w:t xml:space="preserve"> </w:t>
            </w:r>
            <w:r w:rsidR="00EC22F5">
              <w:rPr>
                <w:b/>
              </w:rPr>
              <w:t>Fortolkning</w:t>
            </w:r>
            <w:r w:rsidR="007D63FB">
              <w:t xml:space="preserve"> og har især</w:t>
            </w:r>
            <w:r w:rsidR="00EC22F5">
              <w:t xml:space="preserve"> fokus p</w:t>
            </w:r>
            <w:r w:rsidR="007D63FB">
              <w:t xml:space="preserve">å faserne </w:t>
            </w:r>
            <w:r w:rsidR="007D63FB" w:rsidRPr="007D63FB">
              <w:rPr>
                <w:i/>
              </w:rPr>
              <w:t>undersøgelse</w:t>
            </w:r>
            <w:r w:rsidR="007D63FB">
              <w:t xml:space="preserve">, </w:t>
            </w:r>
            <w:r w:rsidR="00A230C1">
              <w:rPr>
                <w:i/>
              </w:rPr>
              <w:t>analyse</w:t>
            </w:r>
            <w:r w:rsidR="007D63FB">
              <w:t xml:space="preserve"> og </w:t>
            </w:r>
            <w:r w:rsidR="007D63FB" w:rsidRPr="007D63FB">
              <w:rPr>
                <w:i/>
              </w:rPr>
              <w:t>vurdering</w:t>
            </w:r>
            <w:r w:rsidR="007D63FB">
              <w:t>.</w:t>
            </w:r>
            <w:r w:rsidR="00EC22F5">
              <w:br/>
            </w:r>
            <w:r w:rsidR="00EC22F5">
              <w:br/>
              <w:t>Det nye, eleverne s</w:t>
            </w:r>
            <w:r w:rsidR="002F588E">
              <w:t xml:space="preserve">kal lære, </w:t>
            </w:r>
            <w:r w:rsidR="00EC22F5">
              <w:t>kan udtrykkes i følgende læringsmål:</w:t>
            </w:r>
          </w:p>
          <w:p w:rsidR="00390BC7" w:rsidRDefault="00390BC7" w:rsidP="00390BC7">
            <w:pPr>
              <w:pStyle w:val="Listeafsnit"/>
              <w:numPr>
                <w:ilvl w:val="0"/>
                <w:numId w:val="1"/>
              </w:numPr>
            </w:pPr>
            <w:r>
              <w:t>Eleverne spio</w:t>
            </w:r>
            <w:r w:rsidR="00562E44">
              <w:t>nerer på et udvalgt analyseelement</w:t>
            </w:r>
            <w:r>
              <w:t xml:space="preserve"> g</w:t>
            </w:r>
            <w:r w:rsidR="00DD516F">
              <w:t>ennem hele læsningen af romanen og sammenfatter iagttagelserne mundtligt.</w:t>
            </w:r>
          </w:p>
          <w:p w:rsidR="00EC22F5" w:rsidRDefault="00DD516F" w:rsidP="00EC22F5">
            <w:pPr>
              <w:pStyle w:val="Opstilling-punkttegn"/>
              <w:numPr>
                <w:ilvl w:val="0"/>
                <w:numId w:val="1"/>
              </w:numPr>
              <w:spacing w:after="0"/>
            </w:pPr>
            <w:r>
              <w:t xml:space="preserve">Eleverne reflekterer over, hvad sorg er, og hvad der skal til for at </w:t>
            </w:r>
            <w:r w:rsidR="004C64B9">
              <w:t>komme igennem en sorgproces.</w:t>
            </w:r>
          </w:p>
          <w:p w:rsidR="00EC22F5" w:rsidRDefault="00EC22F5" w:rsidP="00B8146F">
            <w:pPr>
              <w:pStyle w:val="Opstilling-punkttegn"/>
              <w:ind w:left="360" w:hanging="360"/>
            </w:pPr>
          </w:p>
          <w:p w:rsidR="00EC22F5" w:rsidRDefault="002F588E" w:rsidP="002F588E">
            <w:pPr>
              <w:pStyle w:val="Opstilling-punkttegn"/>
              <w:numPr>
                <w:ilvl w:val="0"/>
                <w:numId w:val="1"/>
              </w:numPr>
              <w:spacing w:after="0"/>
            </w:pPr>
            <w:r>
              <w:t>Eleverne</w:t>
            </w:r>
            <w:r w:rsidR="008535A9">
              <w:t xml:space="preserve"> </w:t>
            </w:r>
            <w:r w:rsidR="00DD516F">
              <w:t>uddrager informationer fra både roman og tv-udsendelse om Tourettes Syndrom og skriver informerende tekster med udgangspunkt i en sproglig ressourcebank.</w:t>
            </w:r>
            <w:r>
              <w:br/>
            </w:r>
          </w:p>
          <w:p w:rsidR="004F35EF" w:rsidRDefault="004F35EF" w:rsidP="00390BC7">
            <w:pPr>
              <w:pStyle w:val="Opstilling-punkttegn"/>
              <w:spacing w:after="0"/>
              <w:ind w:left="360"/>
            </w:pPr>
          </w:p>
          <w:p w:rsidR="00EC22F5" w:rsidRPr="00390BC7" w:rsidRDefault="00EC22F5" w:rsidP="00390BC7">
            <w:pPr>
              <w:pStyle w:val="Opstilling-punkttegn"/>
              <w:spacing w:after="0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E919D4">
              <w:rPr>
                <w:rStyle w:val="Overskrift1Tegn"/>
                <w:color w:val="1D266B"/>
                <w:sz w:val="32"/>
                <w:szCs w:val="32"/>
              </w:rPr>
              <w:t>Overlayets konkrete udformning</w:t>
            </w:r>
          </w:p>
          <w:p w:rsidR="00EC22F5" w:rsidRDefault="00EC22F5" w:rsidP="00B8146F">
            <w:pPr>
              <w:pStyle w:val="Listeafsnit"/>
              <w:ind w:left="0"/>
              <w:rPr>
                <w:b/>
              </w:rPr>
            </w:pPr>
          </w:p>
          <w:p w:rsidR="00EC22F5" w:rsidRDefault="00EC22F5" w:rsidP="00B8146F">
            <w:pPr>
              <w:pStyle w:val="Listeafsnit"/>
              <w:ind w:left="0"/>
            </w:pPr>
            <w:r>
              <w:t>Overlayet organiserer sig omkring litteraturarbejdets traditionelle tre faser:</w:t>
            </w:r>
          </w:p>
          <w:p w:rsidR="00C378C2" w:rsidRDefault="00C378C2" w:rsidP="00B8146F">
            <w:pPr>
              <w:pStyle w:val="Listeafsnit"/>
              <w:ind w:left="0"/>
            </w:pPr>
          </w:p>
          <w:p w:rsidR="00EC22F5" w:rsidRDefault="00EC22F5" w:rsidP="00B8146F">
            <w:pPr>
              <w:pStyle w:val="Listeafsnit"/>
              <w:ind w:left="0"/>
            </w:pPr>
          </w:p>
          <w:p w:rsidR="00EC22F5" w:rsidRDefault="00F30BBF" w:rsidP="00B8146F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 xml:space="preserve">Før I </w:t>
            </w:r>
            <w:r w:rsidR="00EC22F5">
              <w:rPr>
                <w:b/>
              </w:rPr>
              <w:t>læser</w:t>
            </w:r>
          </w:p>
          <w:p w:rsidR="00EC22F5" w:rsidRDefault="00EC22F5" w:rsidP="00B8146F">
            <w:pPr>
              <w:pStyle w:val="Listeafsnit"/>
              <w:ind w:left="0"/>
            </w:pPr>
            <w:r>
              <w:t>For at få eleverne tunet ind på romanen</w:t>
            </w:r>
            <w:r w:rsidR="00F30BBF">
              <w:t>s univers er der på side 2</w:t>
            </w:r>
            <w:r w:rsidR="00594895">
              <w:t xml:space="preserve"> </w:t>
            </w:r>
            <w:r>
              <w:t>lagt markeringer ind i overlayet, der får læserne omkring:</w:t>
            </w:r>
          </w:p>
          <w:p w:rsidR="00EC22F5" w:rsidRDefault="00297799" w:rsidP="00EC22F5">
            <w:pPr>
              <w:pStyle w:val="Opstilling-punkttegn"/>
              <w:numPr>
                <w:ilvl w:val="0"/>
                <w:numId w:val="5"/>
              </w:numPr>
              <w:spacing w:after="0"/>
            </w:pPr>
            <w:r>
              <w:t>Titel</w:t>
            </w:r>
            <w:r w:rsidR="008D1CD6">
              <w:t>, bagsidetekst</w:t>
            </w:r>
            <w:r w:rsidR="006134E8">
              <w:t xml:space="preserve"> og handlingshypoteser</w:t>
            </w:r>
          </w:p>
          <w:p w:rsidR="00C378C2" w:rsidRDefault="00C378C2" w:rsidP="00B8146F">
            <w:pPr>
              <w:pStyle w:val="Listeafsnit"/>
              <w:ind w:left="0"/>
              <w:rPr>
                <w:b/>
              </w:rPr>
            </w:pPr>
          </w:p>
          <w:p w:rsidR="00EC22F5" w:rsidRDefault="00F838AF" w:rsidP="00B8146F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Mens I</w:t>
            </w:r>
            <w:r w:rsidR="00EC22F5">
              <w:rPr>
                <w:b/>
              </w:rPr>
              <w:t xml:space="preserve"> læser</w:t>
            </w:r>
          </w:p>
          <w:p w:rsidR="00297799" w:rsidRPr="00297799" w:rsidRDefault="00297799" w:rsidP="00297799">
            <w:r>
              <w:t>Mens eleverne læser romanen, er der i overlayet fokus på tre aspekter.</w:t>
            </w:r>
          </w:p>
          <w:p w:rsidR="00562E44" w:rsidRDefault="00297799" w:rsidP="001F2768">
            <w:pPr>
              <w:pStyle w:val="Listeafsnit"/>
              <w:numPr>
                <w:ilvl w:val="0"/>
                <w:numId w:val="7"/>
              </w:numPr>
            </w:pPr>
            <w:r>
              <w:rPr>
                <w:b/>
              </w:rPr>
              <w:t>Forholdet til mor og far</w:t>
            </w:r>
            <w:r w:rsidR="00372EEC">
              <w:rPr>
                <w:b/>
              </w:rPr>
              <w:t xml:space="preserve"> (blå markeringer)</w:t>
            </w:r>
            <w:r w:rsidR="00410626">
              <w:rPr>
                <w:b/>
              </w:rPr>
              <w:br/>
            </w:r>
            <w:r w:rsidR="00FA1C77">
              <w:t>Eleverne skal undervejs i læsningen samle på oplysninger</w:t>
            </w:r>
            <w:r w:rsidR="0007287A">
              <w:t xml:space="preserve"> om Storms minder om mor samt livet med far. I overlayet tilbydes et stilladserende notatark til </w:t>
            </w:r>
            <w:r w:rsidR="001F2768">
              <w:t>arbejdet.</w:t>
            </w:r>
            <w:r w:rsidR="001F2768">
              <w:br/>
              <w:t>Nogle ele</w:t>
            </w:r>
            <w:r w:rsidR="0007287A">
              <w:t>ver vil selv kunne finde gode citater fra bogen – andre vil have brug for at få en række tekststeder foræret, som arbejdet kan tage udgangspunkt i</w:t>
            </w:r>
            <w:r w:rsidR="001F2768">
              <w:t>. Disse elever kan følge overlayets citatforslag (1-16), der alle er markeret med farven blå.</w:t>
            </w:r>
            <w:r w:rsidR="001F2768">
              <w:br/>
              <w:t>Eleverne skal bruge deres indsamlede oplysninger til en mundtlig sammenfatning på ca. to minutter om Storms forhold til sine forældre. De skal i præsentationen b</w:t>
            </w:r>
            <w:r w:rsidR="00CD2AD0">
              <w:t xml:space="preserve">ruge mindst tre konkrete tekstnedslag fra </w:t>
            </w:r>
            <w:r w:rsidR="00F61578">
              <w:t>deres eget notatark</w:t>
            </w:r>
            <w:r w:rsidR="00CD2AD0">
              <w:t>.</w:t>
            </w:r>
          </w:p>
          <w:p w:rsidR="00C378C2" w:rsidRPr="001F2768" w:rsidRDefault="00C378C2" w:rsidP="00C378C2">
            <w:pPr>
              <w:pStyle w:val="Listeafsnit"/>
            </w:pPr>
          </w:p>
          <w:p w:rsidR="00132595" w:rsidRPr="00132595" w:rsidRDefault="001F2768" w:rsidP="00DC4F4F">
            <w:pPr>
              <w:pStyle w:val="Opstilling-punkttegn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Kviksand og kviksandshæmmet – temaet om at sidde fast (røde markeringer)</w:t>
            </w:r>
            <w:r w:rsidR="00410626">
              <w:rPr>
                <w:b/>
              </w:rPr>
              <w:br/>
            </w:r>
            <w:r w:rsidR="00CD2AD0">
              <w:t xml:space="preserve">Et vigtigt tema i romanen </w:t>
            </w:r>
            <w:r w:rsidR="00132595">
              <w:t>er at gå i stå</w:t>
            </w:r>
            <w:r w:rsidR="00220EDC">
              <w:t xml:space="preserve"> i livet på grund af sorg.</w:t>
            </w:r>
            <w:r w:rsidR="00132595">
              <w:t xml:space="preserve"> At sidde fast.</w:t>
            </w:r>
            <w:r w:rsidR="00B13248">
              <w:t xml:space="preserve"> I romanen kalder Ariel det at være kviksandshæmmet, og hun giver Storm diagnosen KSH.</w:t>
            </w:r>
          </w:p>
          <w:p w:rsidR="00132595" w:rsidRDefault="00132595" w:rsidP="00132595">
            <w:pPr>
              <w:pStyle w:val="Opstilling-punkttegn"/>
              <w:ind w:left="720"/>
            </w:pPr>
            <w:r>
              <w:t>Eleverne skal bruge e-bogens ordbogsfunktion til at finde en præcis definition af begrebet kviksand og sætte det i relation til Storms situation.</w:t>
            </w:r>
            <w:r w:rsidR="00B13248">
              <w:t xml:space="preserve"> De skal også reflektere over, hvad der skal til for at rykke sig fri af sorgen.</w:t>
            </w:r>
          </w:p>
          <w:p w:rsidR="00C378C2" w:rsidRDefault="00C378C2" w:rsidP="00132595">
            <w:pPr>
              <w:pStyle w:val="Opstilling-punkttegn"/>
              <w:ind w:left="720"/>
            </w:pPr>
          </w:p>
          <w:p w:rsidR="00562E44" w:rsidRPr="00DC4F4F" w:rsidRDefault="00562E44" w:rsidP="00132595">
            <w:pPr>
              <w:pStyle w:val="Opstilling-punkttegn"/>
              <w:ind w:left="720"/>
              <w:rPr>
                <w:b/>
              </w:rPr>
            </w:pPr>
          </w:p>
          <w:p w:rsidR="00C378C2" w:rsidRPr="00C378C2" w:rsidRDefault="00B13248" w:rsidP="004F35EF">
            <w:pPr>
              <w:pStyle w:val="Opstilling-punkttegn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Tæt på Tourette</w:t>
            </w:r>
            <w:r w:rsidR="0078528C" w:rsidRPr="00562E44">
              <w:rPr>
                <w:b/>
              </w:rPr>
              <w:t xml:space="preserve"> </w:t>
            </w:r>
            <w:r w:rsidR="00562E44">
              <w:rPr>
                <w:b/>
              </w:rPr>
              <w:t>(grønne markeringer)</w:t>
            </w:r>
            <w:r w:rsidR="00410626">
              <w:rPr>
                <w:b/>
              </w:rPr>
              <w:br/>
            </w:r>
            <w:r w:rsidR="00F61578">
              <w:rPr>
                <w:rFonts w:cstheme="minorHAnsi"/>
              </w:rPr>
              <w:t>Ariel i bogen lider af Tourette. Gennem de grønne markeringer er der peget på seks tekststeder i romanen, der siger noget centralt om sygdommen og Ariels liv med den. Samtidig linkes der til tv-udsendelsen ”Jeg har Tourette – og hva’ så?” på mitcfu.dk, som klassen foreslås at se fælles i klassen. Der er udarbejdet en række kapitelmærkninger til udsendelsen, så læreren hurtigt kan slå ned på de elementer, der er særligt interessante i romansammenhængen.</w:t>
            </w:r>
            <w:r w:rsidR="008F1DB7">
              <w:rPr>
                <w:rFonts w:cstheme="minorHAnsi"/>
              </w:rPr>
              <w:br/>
              <w:t>Som afslutningen på arbejdet skal eleverne skrive en kort tekst om Tourette og Ariels version af syndromet.</w:t>
            </w:r>
            <w:r w:rsidR="008535A9">
              <w:rPr>
                <w:rFonts w:cstheme="minorHAnsi"/>
              </w:rPr>
              <w:t xml:space="preserve"> De skal også reflektere personligt over det at lide af Tourette.</w:t>
            </w:r>
            <w:r w:rsidR="008F1DB7">
              <w:rPr>
                <w:rFonts w:cstheme="minorHAnsi"/>
              </w:rPr>
              <w:t xml:space="preserve"> I skrivningen SKAL eleverne bruge en række udvalgte ord, der sikrer både præcision og fylde i teksterne.</w:t>
            </w:r>
          </w:p>
          <w:p w:rsidR="00A57234" w:rsidRDefault="005A3F80" w:rsidP="00C378C2">
            <w:pPr>
              <w:pStyle w:val="Opstilling-punkttegn"/>
              <w:ind w:left="720"/>
            </w:pPr>
            <w:r w:rsidRPr="00C378C2">
              <w:rPr>
                <w:rFonts w:cstheme="minorHAnsi"/>
                <w:b/>
              </w:rPr>
              <w:br/>
            </w:r>
            <w:r>
              <w:br/>
            </w:r>
            <w:r w:rsidR="00F30BBF" w:rsidRPr="00C378C2">
              <w:rPr>
                <w:b/>
              </w:rPr>
              <w:t>Efter I</w:t>
            </w:r>
            <w:r w:rsidR="00EC22F5" w:rsidRPr="00C378C2">
              <w:rPr>
                <w:b/>
              </w:rPr>
              <w:t xml:space="preserve"> har læst</w:t>
            </w:r>
            <w:r w:rsidR="009C0CD6" w:rsidRPr="00C378C2">
              <w:rPr>
                <w:b/>
              </w:rPr>
              <w:br/>
            </w:r>
            <w:r w:rsidR="009C0CD6">
              <w:t xml:space="preserve">Efter læsningen af romanen skal eleverne </w:t>
            </w:r>
            <w:r w:rsidR="00A57234">
              <w:t>danne sig et overblik over den samlede tekst ved at stille skarpt på vendepunkterne i det narrative forløb:</w:t>
            </w:r>
          </w:p>
          <w:p w:rsidR="00C378C2" w:rsidRPr="00C378C2" w:rsidRDefault="00C378C2" w:rsidP="00C378C2">
            <w:pPr>
              <w:pStyle w:val="Opstilling-punkttegn"/>
              <w:ind w:left="720"/>
              <w:rPr>
                <w:b/>
              </w:rPr>
            </w:pPr>
          </w:p>
          <w:p w:rsidR="00A57234" w:rsidRDefault="00A57234" w:rsidP="004F35EF">
            <w:pPr>
              <w:pStyle w:val="Opstilling-punkttegn"/>
            </w:pPr>
          </w:p>
          <w:p w:rsidR="00A57234" w:rsidRDefault="002824FC" w:rsidP="00A57234">
            <w:pPr>
              <w:pStyle w:val="Opstilling-punkttegn"/>
              <w:numPr>
                <w:ilvl w:val="0"/>
                <w:numId w:val="9"/>
              </w:numPr>
            </w:pPr>
            <w:r>
              <w:t xml:space="preserve">Hvilke vendepunkter kan eleverne </w:t>
            </w:r>
            <w:r w:rsidR="00A57234">
              <w:t>få øje på i teksten?</w:t>
            </w:r>
          </w:p>
          <w:p w:rsidR="00A57234" w:rsidRDefault="00A57234" w:rsidP="00A57234">
            <w:pPr>
              <w:pStyle w:val="Opstilling-punkttegn"/>
              <w:numPr>
                <w:ilvl w:val="0"/>
                <w:numId w:val="9"/>
              </w:numPr>
            </w:pPr>
            <w:r>
              <w:t>På hvilken måde forandrer handlingen eller situationen sig i forbindelse med de forskellige vendepunkter?</w:t>
            </w:r>
          </w:p>
          <w:p w:rsidR="00DD516F" w:rsidRDefault="00A57234" w:rsidP="00C378C2">
            <w:pPr>
              <w:pStyle w:val="Opstilling-punkttegn"/>
              <w:numPr>
                <w:ilvl w:val="0"/>
                <w:numId w:val="9"/>
              </w:numPr>
            </w:pPr>
            <w:r>
              <w:t>Til læreren: Eksempler på vendepunkter kunne være:</w:t>
            </w:r>
          </w:p>
          <w:p w:rsidR="00A57234" w:rsidRDefault="00A57234" w:rsidP="00DD516F">
            <w:pPr>
              <w:pStyle w:val="Opstilling-punkttegn"/>
              <w:ind w:left="720"/>
            </w:pPr>
            <w:r>
              <w:br/>
            </w:r>
          </w:p>
          <w:tbl>
            <w:tblPr>
              <w:tblStyle w:val="Tabel-Git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591"/>
              <w:gridCol w:w="3536"/>
            </w:tblGrid>
            <w:tr w:rsidR="00A57234" w:rsidTr="00A57234">
              <w:tc>
                <w:tcPr>
                  <w:tcW w:w="3923" w:type="dxa"/>
                </w:tcPr>
                <w:p w:rsidR="00A57234" w:rsidRPr="00A57234" w:rsidRDefault="00A57234" w:rsidP="00A57234">
                  <w:pPr>
                    <w:pStyle w:val="Opstilling-punkttegn"/>
                    <w:rPr>
                      <w:b/>
                    </w:rPr>
                  </w:pPr>
                  <w:r>
                    <w:rPr>
                      <w:b/>
                    </w:rPr>
                    <w:t>Vendepunkter i teksten</w:t>
                  </w:r>
                </w:p>
              </w:tc>
              <w:tc>
                <w:tcPr>
                  <w:tcW w:w="3924" w:type="dxa"/>
                </w:tcPr>
                <w:p w:rsidR="00A57234" w:rsidRPr="00F76235" w:rsidRDefault="00F76235" w:rsidP="00A57234">
                  <w:pPr>
                    <w:pStyle w:val="Opstilling-punkttegn"/>
                    <w:rPr>
                      <w:b/>
                    </w:rPr>
                  </w:pPr>
                  <w:r>
                    <w:rPr>
                      <w:b/>
                    </w:rPr>
                    <w:t>Det kommer til at betyde …</w:t>
                  </w:r>
                </w:p>
              </w:tc>
            </w:tr>
            <w:tr w:rsidR="00A57234" w:rsidTr="00A57234">
              <w:tc>
                <w:tcPr>
                  <w:tcW w:w="3923" w:type="dxa"/>
                </w:tcPr>
                <w:p w:rsidR="00A57234" w:rsidRDefault="00F76235" w:rsidP="00F76235">
                  <w:pPr>
                    <w:pStyle w:val="Opstilling-punkttegn"/>
                  </w:pPr>
                  <w:r>
                    <w:t>Mor dør (inden romanen begynder)</w:t>
                  </w:r>
                </w:p>
              </w:tc>
              <w:tc>
                <w:tcPr>
                  <w:tcW w:w="3924" w:type="dxa"/>
                </w:tcPr>
                <w:p w:rsidR="00A57234" w:rsidRDefault="00F76235" w:rsidP="00F76235">
                  <w:pPr>
                    <w:pStyle w:val="Opstilling-punkttegn"/>
                  </w:pPr>
                  <w:r>
                    <w:t>at Storm isolerer sig, stopper til fodbold og mister kontakten til sin ven, Bastian.</w:t>
                  </w:r>
                </w:p>
              </w:tc>
            </w:tr>
            <w:tr w:rsidR="00A57234" w:rsidTr="00A57234">
              <w:tc>
                <w:tcPr>
                  <w:tcW w:w="3923" w:type="dxa"/>
                </w:tcPr>
                <w:p w:rsidR="00A57234" w:rsidRDefault="00F76235" w:rsidP="00F76235">
                  <w:pPr>
                    <w:pStyle w:val="Opstilling-punkttegn"/>
                  </w:pPr>
                  <w:r>
                    <w:t>Storm møder Ariel</w:t>
                  </w:r>
                </w:p>
              </w:tc>
              <w:tc>
                <w:tcPr>
                  <w:tcW w:w="3924" w:type="dxa"/>
                </w:tcPr>
                <w:p w:rsidR="00A57234" w:rsidRDefault="00A57234" w:rsidP="00F76235">
                  <w:pPr>
                    <w:pStyle w:val="Opstilling-punkttegn"/>
                  </w:pPr>
                </w:p>
              </w:tc>
            </w:tr>
            <w:tr w:rsidR="00A57234" w:rsidTr="00A57234">
              <w:tc>
                <w:tcPr>
                  <w:tcW w:w="3923" w:type="dxa"/>
                </w:tcPr>
                <w:p w:rsidR="00A57234" w:rsidRDefault="00E0600E" w:rsidP="00F76235">
                  <w:pPr>
                    <w:pStyle w:val="Opstilling-punkttegn"/>
                  </w:pPr>
                  <w:r>
                    <w:t>Far kysser med BB</w:t>
                  </w:r>
                </w:p>
              </w:tc>
              <w:tc>
                <w:tcPr>
                  <w:tcW w:w="3924" w:type="dxa"/>
                </w:tcPr>
                <w:p w:rsidR="00A57234" w:rsidRDefault="00A57234" w:rsidP="00F76235">
                  <w:pPr>
                    <w:pStyle w:val="Opstilling-punkttegn"/>
                  </w:pPr>
                </w:p>
              </w:tc>
            </w:tr>
            <w:tr w:rsidR="00A57234" w:rsidTr="00A57234">
              <w:tc>
                <w:tcPr>
                  <w:tcW w:w="3923" w:type="dxa"/>
                </w:tcPr>
                <w:p w:rsidR="00A57234" w:rsidRDefault="00E0600E" w:rsidP="00F76235">
                  <w:pPr>
                    <w:pStyle w:val="Opstilling-punkttegn"/>
                  </w:pPr>
                  <w:r>
                    <w:t>Ariel kysser Storm</w:t>
                  </w:r>
                </w:p>
              </w:tc>
              <w:tc>
                <w:tcPr>
                  <w:tcW w:w="3924" w:type="dxa"/>
                </w:tcPr>
                <w:p w:rsidR="00A57234" w:rsidRDefault="00A57234" w:rsidP="00F76235">
                  <w:pPr>
                    <w:pStyle w:val="Opstilling-punkttegn"/>
                  </w:pPr>
                </w:p>
              </w:tc>
            </w:tr>
            <w:tr w:rsidR="00A57234" w:rsidTr="00A57234">
              <w:tc>
                <w:tcPr>
                  <w:tcW w:w="3923" w:type="dxa"/>
                </w:tcPr>
                <w:p w:rsidR="00A57234" w:rsidRDefault="00726F19" w:rsidP="00F76235">
                  <w:pPr>
                    <w:pStyle w:val="Opstilling-punkttegn"/>
                  </w:pPr>
                  <w:r>
                    <w:t xml:space="preserve">Ariel er på besøg hos </w:t>
                  </w:r>
                  <w:r w:rsidR="00F76235">
                    <w:t>Bastian</w:t>
                  </w:r>
                </w:p>
              </w:tc>
              <w:tc>
                <w:tcPr>
                  <w:tcW w:w="3924" w:type="dxa"/>
                </w:tcPr>
                <w:p w:rsidR="00A57234" w:rsidRDefault="00A57234" w:rsidP="00F76235">
                  <w:pPr>
                    <w:pStyle w:val="Opstilling-punkttegn"/>
                  </w:pPr>
                </w:p>
              </w:tc>
            </w:tr>
            <w:tr w:rsidR="00A57234" w:rsidTr="00A57234">
              <w:tc>
                <w:tcPr>
                  <w:tcW w:w="3923" w:type="dxa"/>
                </w:tcPr>
                <w:p w:rsidR="00A57234" w:rsidRDefault="00F76235" w:rsidP="00F76235">
                  <w:pPr>
                    <w:pStyle w:val="Opstilling-punkttegn"/>
                  </w:pPr>
                  <w:r>
                    <w:t>Ariel finder Storm i fyrtårnet</w:t>
                  </w:r>
                </w:p>
              </w:tc>
              <w:tc>
                <w:tcPr>
                  <w:tcW w:w="3924" w:type="dxa"/>
                </w:tcPr>
                <w:p w:rsidR="00A57234" w:rsidRDefault="00A57234" w:rsidP="00F76235">
                  <w:pPr>
                    <w:pStyle w:val="Opstilling-punkttegn"/>
                  </w:pPr>
                </w:p>
              </w:tc>
            </w:tr>
          </w:tbl>
          <w:p w:rsidR="00A57234" w:rsidRDefault="00A57234" w:rsidP="00F76235">
            <w:pPr>
              <w:pStyle w:val="Opstilling-punkttegn"/>
            </w:pPr>
          </w:p>
          <w:p w:rsidR="00A57234" w:rsidRDefault="00726F19" w:rsidP="00A57234">
            <w:pPr>
              <w:pStyle w:val="Opstilling-punkttegn"/>
            </w:pPr>
            <w:r>
              <w:t xml:space="preserve">Brug oversigten over romanens vendepunkter til at </w:t>
            </w:r>
            <w:r w:rsidR="002824FC">
              <w:t xml:space="preserve">få eleverne til at </w:t>
            </w:r>
            <w:r>
              <w:t>diskutere</w:t>
            </w:r>
            <w:r w:rsidR="002824FC">
              <w:t>, hvordan de</w:t>
            </w:r>
            <w:r>
              <w:t xml:space="preserve"> selv ville have håndteret de enkelte vendepunkter. </w:t>
            </w:r>
            <w:r w:rsidR="00693CBC">
              <w:t>Hvordan ville de</w:t>
            </w:r>
            <w:r>
              <w:t xml:space="preserve"> fx have reageret på, at faren kysser sin kollega? Eller at Ariel er på besøg hos Bastian?</w:t>
            </w:r>
            <w:r w:rsidR="00693CBC">
              <w:br/>
              <w:t>Diskussionerne i ”Efter I har læst” skal altså knytte an til elevernes egen erfaringsverden.</w:t>
            </w:r>
          </w:p>
          <w:p w:rsidR="00A57234" w:rsidRDefault="00A57234" w:rsidP="00A57234">
            <w:pPr>
              <w:pStyle w:val="Opstilling-punkttegn"/>
            </w:pPr>
          </w:p>
          <w:p w:rsidR="00EC22F5" w:rsidRDefault="00EC22F5" w:rsidP="002C2C51">
            <w:pPr>
              <w:pStyle w:val="Opstilling-punkttegn"/>
              <w:rPr>
                <w:b/>
              </w:rPr>
            </w:pPr>
            <w:r>
              <w:rPr>
                <w:b/>
              </w:rPr>
              <w:t>Samlet oversigt over markeringsfarver i overlayet:</w:t>
            </w:r>
          </w:p>
          <w:p w:rsidR="00F76235" w:rsidRPr="00303A8A" w:rsidRDefault="00F76235" w:rsidP="00F76235">
            <w:pPr>
              <w:pStyle w:val="Opstilling-punkttegn"/>
              <w:numPr>
                <w:ilvl w:val="0"/>
                <w:numId w:val="6"/>
              </w:numPr>
              <w:spacing w:after="0"/>
            </w:pPr>
            <w:r>
              <w:t>Grå: ”Før I læser” og ”Efter I har læst”</w:t>
            </w:r>
          </w:p>
          <w:p w:rsidR="00F76235" w:rsidRDefault="00F76235" w:rsidP="00F76235">
            <w:pPr>
              <w:pStyle w:val="Opstilling-punkttegn"/>
              <w:numPr>
                <w:ilvl w:val="0"/>
                <w:numId w:val="6"/>
              </w:numPr>
              <w:spacing w:after="0"/>
            </w:pPr>
            <w:r>
              <w:t>Blå: Forholdet til mor og far</w:t>
            </w:r>
          </w:p>
          <w:p w:rsidR="008D1CD6" w:rsidRDefault="00F76235" w:rsidP="00EC22F5">
            <w:pPr>
              <w:pStyle w:val="Opstilling-punkttegn"/>
              <w:numPr>
                <w:ilvl w:val="0"/>
                <w:numId w:val="6"/>
              </w:numPr>
              <w:spacing w:after="0"/>
            </w:pPr>
            <w:r>
              <w:t>Rød: Kviksand</w:t>
            </w:r>
            <w:r w:rsidR="00C378C2">
              <w:t xml:space="preserve"> og kviksandshæmmet</w:t>
            </w:r>
          </w:p>
          <w:p w:rsidR="00EC22F5" w:rsidRDefault="00F76235" w:rsidP="00A57234">
            <w:pPr>
              <w:pStyle w:val="Opstilling-punkttegn"/>
              <w:numPr>
                <w:ilvl w:val="0"/>
                <w:numId w:val="6"/>
              </w:numPr>
              <w:spacing w:after="0"/>
            </w:pPr>
            <w:r>
              <w:t>Grøn: Tæt på Tourette</w:t>
            </w:r>
          </w:p>
          <w:p w:rsidR="00581EEF" w:rsidRPr="00303A8A" w:rsidRDefault="00581EEF" w:rsidP="00F76235">
            <w:pPr>
              <w:pStyle w:val="Opstilling-punkttegn"/>
              <w:spacing w:after="0"/>
              <w:ind w:left="360"/>
            </w:pPr>
          </w:p>
          <w:p w:rsidR="00EC22F5" w:rsidRDefault="00EC22F5" w:rsidP="002824FC">
            <w:pPr>
              <w:pStyle w:val="Overskrift1"/>
              <w:spacing w:before="240"/>
              <w:outlineLvl w:val="0"/>
              <w:rPr>
                <w:rFonts w:asciiTheme="minorHAnsi" w:hAnsiTheme="minorHAnsi"/>
                <w:color w:val="000066"/>
                <w:sz w:val="32"/>
                <w:szCs w:val="32"/>
              </w:rPr>
            </w:pPr>
            <w:r w:rsidRPr="00332CD8">
              <w:rPr>
                <w:rFonts w:asciiTheme="minorHAnsi" w:hAnsiTheme="minorHAnsi"/>
                <w:color w:val="000066"/>
                <w:sz w:val="32"/>
                <w:szCs w:val="32"/>
              </w:rPr>
              <w:t>Supplerende materialer</w:t>
            </w:r>
          </w:p>
          <w:p w:rsidR="002824FC" w:rsidRPr="002824FC" w:rsidRDefault="002824FC" w:rsidP="002824FC"/>
          <w:p w:rsidR="00EC22F5" w:rsidRDefault="001222CD" w:rsidP="00EC22F5">
            <w:pPr>
              <w:pStyle w:val="Opstilling-punkttegn"/>
              <w:numPr>
                <w:ilvl w:val="0"/>
                <w:numId w:val="4"/>
              </w:numPr>
              <w:spacing w:after="0"/>
            </w:pPr>
            <w:r>
              <w:rPr>
                <w:i/>
              </w:rPr>
              <w:t>Jeg har tourettes – og hva’ så?</w:t>
            </w:r>
            <w:r w:rsidR="00016FF3">
              <w:rPr>
                <w:i/>
              </w:rPr>
              <w:t xml:space="preserve">, </w:t>
            </w:r>
            <w:r>
              <w:t xml:space="preserve">DR2, 2008, 28 min.,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TV0000012211</w:t>
            </w:r>
          </w:p>
          <w:p w:rsidR="00EC22F5" w:rsidRPr="001222CD" w:rsidRDefault="001222CD" w:rsidP="001222CD">
            <w:pPr>
              <w:pStyle w:val="Opstilling-punkttegn"/>
              <w:numPr>
                <w:ilvl w:val="0"/>
                <w:numId w:val="4"/>
              </w:numPr>
              <w:spacing w:after="0"/>
            </w:pPr>
            <w:r>
              <w:rPr>
                <w:i/>
              </w:rPr>
              <w:t xml:space="preserve">Mig og tourettes, </w:t>
            </w:r>
            <w:r>
              <w:t xml:space="preserve">DR1, 2013, 59 min.,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TV0000024801</w:t>
            </w:r>
          </w:p>
          <w:p w:rsidR="001222CD" w:rsidRDefault="001222CD" w:rsidP="001222CD">
            <w:pPr>
              <w:pStyle w:val="Opstilling-punkttegn"/>
              <w:numPr>
                <w:ilvl w:val="0"/>
                <w:numId w:val="4"/>
              </w:numPr>
              <w:spacing w:after="0"/>
            </w:pPr>
            <w:r>
              <w:rPr>
                <w:i/>
              </w:rPr>
              <w:t xml:space="preserve">Tourette – teenage tics, </w:t>
            </w:r>
            <w:r>
              <w:t xml:space="preserve">DR3, 2017, </w:t>
            </w:r>
            <w:r w:rsidRPr="001222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a-DK"/>
              </w:rPr>
              <w:t>TV0000108810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7824"/>
            </w:tblGrid>
            <w:tr w:rsidR="001222CD" w:rsidRPr="001222CD" w:rsidTr="001222CD">
              <w:tc>
                <w:tcPr>
                  <w:tcW w:w="2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22CD" w:rsidRPr="001222CD" w:rsidRDefault="001222CD" w:rsidP="001222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49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22CD" w:rsidRPr="001222CD" w:rsidRDefault="001222CD" w:rsidP="001222CD">
                  <w:pPr>
                    <w:spacing w:after="0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da-DK"/>
                    </w:rPr>
                  </w:pPr>
                </w:p>
              </w:tc>
            </w:tr>
          </w:tbl>
          <w:p w:rsidR="001222CD" w:rsidRDefault="001222CD" w:rsidP="001222CD">
            <w:pPr>
              <w:pStyle w:val="Opstilling-punkttegn"/>
              <w:spacing w:after="0"/>
              <w:ind w:left="720"/>
            </w:pPr>
          </w:p>
        </w:tc>
      </w:tr>
      <w:tr w:rsidR="005A3F80" w:rsidTr="00B8146F">
        <w:trPr>
          <w:trHeight w:val="10050"/>
        </w:trPr>
        <w:tc>
          <w:tcPr>
            <w:tcW w:w="1555" w:type="dxa"/>
          </w:tcPr>
          <w:p w:rsidR="005A3F80" w:rsidRDefault="005A3F80" w:rsidP="00B8146F">
            <w:pPr>
              <w:pStyle w:val="Ingenafstand"/>
              <w:rPr>
                <w:noProof/>
                <w:lang w:eastAsia="da-DK"/>
              </w:rPr>
            </w:pPr>
          </w:p>
        </w:tc>
        <w:tc>
          <w:tcPr>
            <w:tcW w:w="8073" w:type="dxa"/>
            <w:gridSpan w:val="2"/>
          </w:tcPr>
          <w:p w:rsidR="005A3F80" w:rsidRPr="006225C8" w:rsidRDefault="005A3F80" w:rsidP="00B8146F">
            <w:pPr>
              <w:rPr>
                <w:sz w:val="24"/>
                <w:szCs w:val="24"/>
              </w:rPr>
            </w:pPr>
          </w:p>
        </w:tc>
      </w:tr>
    </w:tbl>
    <w:p w:rsidR="00EC22F5" w:rsidRDefault="00EC22F5" w:rsidP="00EC22F5">
      <w:pPr>
        <w:pStyle w:val="Ingenafstand"/>
      </w:pPr>
    </w:p>
    <w:p w:rsidR="00EC22F5" w:rsidRDefault="00EC22F5" w:rsidP="00EC22F5">
      <w:pPr>
        <w:tabs>
          <w:tab w:val="left" w:pos="1304"/>
          <w:tab w:val="left" w:pos="8745"/>
        </w:tabs>
      </w:pPr>
    </w:p>
    <w:p w:rsidR="00EC22F5" w:rsidRDefault="00EC22F5" w:rsidP="00EC22F5">
      <w:pPr>
        <w:tabs>
          <w:tab w:val="left" w:pos="1304"/>
          <w:tab w:val="left" w:pos="8745"/>
        </w:tabs>
      </w:pPr>
    </w:p>
    <w:p w:rsidR="00EC22F5" w:rsidRPr="000E457C" w:rsidRDefault="00EC22F5" w:rsidP="00EC22F5"/>
    <w:p w:rsidR="003A52A3" w:rsidRDefault="007374A6"/>
    <w:sectPr w:rsidR="003A52A3" w:rsidSect="00230C2A">
      <w:headerReference w:type="default" r:id="rId9"/>
      <w:footerReference w:type="default" r:id="rId10"/>
      <w:pgSz w:w="11906" w:h="16838"/>
      <w:pgMar w:top="1605" w:right="1134" w:bottom="1135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A6" w:rsidRDefault="007374A6" w:rsidP="00EC22F5">
      <w:pPr>
        <w:spacing w:after="0"/>
      </w:pPr>
      <w:r>
        <w:separator/>
      </w:r>
    </w:p>
  </w:endnote>
  <w:endnote w:type="continuationSeparator" w:id="0">
    <w:p w:rsidR="007374A6" w:rsidRDefault="007374A6" w:rsidP="00EC2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67" w:rsidRDefault="000057A1" w:rsidP="00187667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D95C9E" wp14:editId="56C2E12E">
              <wp:simplePos x="0" y="0"/>
              <wp:positionH relativeFrom="column">
                <wp:posOffset>5582488</wp:posOffset>
              </wp:positionH>
              <wp:positionV relativeFrom="paragraph">
                <wp:posOffset>160655</wp:posOffset>
              </wp:positionV>
              <wp:extent cx="583565" cy="270406"/>
              <wp:effectExtent l="0" t="0" r="6985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565" cy="270406"/>
                        <a:chOff x="0" y="0"/>
                        <a:chExt cx="583565" cy="27040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7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D3E" w:rsidRPr="007A6D3E" w:rsidRDefault="000057A1" w:rsidP="007A6D3E">
                            <w:pPr>
                              <w:pStyle w:val="Sidefod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mkOvsPage"/>
                            <w:r w:rsidRPr="007A6D3E">
                              <w:rPr>
                                <w:sz w:val="20"/>
                                <w:szCs w:val="20"/>
                              </w:rPr>
                              <w:t>Side</w:t>
                            </w:r>
                            <w:bookmarkEnd w:id="1"/>
                            <w:r w:rsidRPr="007A6D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05570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374A6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bookmarkStart w:id="2" w:name="bmkOvsOf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>af</w:t>
                                </w:r>
                                <w:bookmarkEnd w:id="2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SECTIONPAGES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374A6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Billed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58" y="163667"/>
                          <a:ext cx="530138" cy="106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D95C9E" id="Gruppe 3" o:spid="_x0000_s1026" style="position:absolute;margin-left:439.55pt;margin-top:12.65pt;width:45.95pt;height:21.3pt;z-index:251659264" coordsize="5835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JVLNgQAADgKAAAOAAAAZHJzL2Uyb0RvYy54bWysVttu4zYQfS/QfyD0&#10;roiSZckS4iwSX4IFtm3Q3X4ALVEWsRLJklTktOi/d0haviRFu91dA1F4Hc45nDnD23eHvkPPVGkm&#10;+DKIb3CAKK9Ezfh+Gfz2aRsuAqQN4TXpBKfL4IXq4N3djz/cjrKkiWhFV1OFwAjX5SiXQWuMLKNI&#10;Vy3tib4RknKYbITqiYGu2ke1IiNY77sowTiLRqFqqURFtYbRtZ8M7pz9pqGV+aVpNDWoWwbgm3Ff&#10;5b47+43ubkm5V0S2rDq6Qb7Ci54wDoeeTK2JIWhQ7I2pnlVKaNGYm0r0kWgaVlGHAdDE+BWaRyUG&#10;6bDsy3EvTzQBta94+mqz1c/PTwqxehnMAsRJD1f0qAYpKZpZbka5L2HJo5If5ZM6Dux9z8I9NKq3&#10;/wEIOjhWX06s0oNBFQzOF7N5Ng9QBVNJjlOcedarFq7mza6q3fzrvmg6NLK+nVwZJcSPPlOkv42i&#10;jy2R1DGvLf4jRclE0SeL7UEcUOJJcossQ8gcYBgSwQWDlh9E9VkjLlYt4Xt6r5QYW0pq8C62OwHD&#10;aaslW5faGtmNP4kaboIMRjhD/5fmOJ/jYuFOmOgipVTaPFLRI9tYBgpywxknzx+0sc6cl9gr5WLL&#10;ug7GSdnxqwFY6EeABdhq5ywfLtz/LHCxWWwWaZgm2SZM8Xod3m9XaZhtwan1bL1areO/7LlxWras&#10;rim3x0ypF6dfdm9HEfBJc0o+LTpWW3PWJa32u1Wn0DOB1N+635GQi2XRtRuOBMDyClKcpPghKcJt&#10;tsjDdJvOwyLHixDHxUOR4bRI19trSB8Yp98OCY0QJknuQ+kKmlVHegJnDj7cuqGHuPGAY2x/FjBc&#10;1tDbTHNEuCG4QCew1oSDfMEIKXtmQJI71i+DxYUVG7cbXjuLhrDOty8ItKDPBMIZU3i4KLeB7UPc&#10;HHYHsGKjfSfqF4h3JSAeQZ2hjkCjFeqPAI2gyctA/z4QRQPUveeQM1bAp4aaGrupQXgFW5eBCZBv&#10;rowX+kEqtm/BsqeJi3vIq4a5mD97Aa7bDojI3a1kVQl/xyuE1puo/O/CBLvMYH33xa3/Ihs9UZ8H&#10;GUJtkMSwHeuYeXF1DoLAOsWfn1hlibSdszDFIK9evB8g+mlNEYwAx9Mqvwfym1WvFElLkIFJja6X&#10;R7Z7deCuY3JKL9s+QgOWX5Wjf2DHl7q1qIaecuNrt6IdoBRct0zqAKmS9jtagzS9r/1VTRF0KTDJ&#10;4h7jInkIV3O8AoHJN+F9keZhjjd5itNFvIpXUzYOmgJe0q0l+w7peJVATiUug5yUlhKnPEZRU7W2&#10;2cB1/AoMw13YpJsmHLVnNi3RPj/Oan2sqLP5HF5QUDnjbJZluU9oONtX1hmOZzBtK2uMs3xWHBVu&#10;qhffW/Kd395T1wTHXdq454mDeHxK2ffPZd+tOj/47v4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vqj/4QAAAAkBAAAPAAAAZHJzL2Rvd25yZXYueG1sTI9BS8NAEIXvgv9hGcGb&#10;3aSlTRMzKaWopyLYCuJtm50modndkN0m6b93POlxmI/3vpdvJtOKgXrfOIsQzyIQZEunG1shfB5f&#10;n9YgfFBWq9ZZQriRh01xf5erTLvRftBwCJXgEOszhVCH0GVS+rImo/zMdWT5d3a9UYHPvpK6VyOH&#10;m1bOo2gljWosN9Sqo11N5eVwNQhvoxq3i/hl2F/Ou9v3cfn+tY8J8fFh2j6DCDSFPxh+9VkdCnY6&#10;uavVXrQI6ySNGUWYLxcgGEiTmMedEFZJCrLI5f8FxQ8AAAD//wMAUEsDBAoAAAAAAAAAIQC3iXxH&#10;hwMAAIcDAAAUAAAAZHJzL21lZGlhL2ltYWdlMS5wbmeJUE5HDQoaCgAAAA1JSERSAAAAcAAAABcI&#10;AgAAAFxzXP4AAAABc1JHQgCuzhzpAAAABGdBTUEAALGPC/xhBQAAAAlwSFlzAAAOwwAADsMBx2+o&#10;ZAAAAxxJREFUWEfVmb9rFEEUx/f/SJFWIbWCbQikCoIQrCwkXYQEwUKLgIWxCrlCLBIsJCCIErSQ&#10;IATB6oyVgkcghYgXi6hnvCSagCHJV95z3HvzY9/uOCv35ctxezszx3zuzbw3e9lxUOut9pmha8uP&#10;XvG1Wjv77dcf5iPNYyl0uPVxf/Xh7uLMtxsX4G5jeu/B3K/37/h2tHa6P1efv+WLoEJAiebpwSvw&#10;7M3H/KlOn7abd18ORprHCgrUvt+6vDU24PTXibMAzU0jhOkDBbDytV9eoHma5OtXl/ieQvUARUgK&#10;gk53pkZionWz3SECd+af8Ud+OYCuNTewxgVNMpjiLr6Am/pVA1CsawEu4M8XT1VmilnT9DVBykAR&#10;0pfGGwacxudHb6OLD25qoKVoksEUWy33VwsBlJ914TJloGVpGvt+saRAD5orApbSyFc8hFo2mfAC&#10;ZaCTEwuim9LU3VZSoEg1gpTepXKUCE8yWPFtlxgotlvRTWnqbisdUBARjEq5VJAOn5sR8yUDNLew&#10;FAUUy4G620oHNFAkKa3cSZGZxXyNAxNnoIHOAf8XoMgtAlBZYwvmsfxCbvCFJ9lX50clJZQR9Wd5&#10;QaeCcYjisfwqXLLAzU179RsoYIvWevt26L4GivB0luHCzhN5VhjbhXbu0H0NFFW5mKPTzjo/q5zf&#10;jZ3B3797qDloamwfRjPRoprt4E8HNHWWNwdNje0gzdZbbRwiRTu9MeL9ey94sJzSAY2sQ3Eo4IFc&#10;clbyYYvDaGwdWn+WP9rrxqz68EmpWrWTh8BAobKh6gxMo3RAIWQVgUnpfx6e5Hyp8xcopK+fCh+6&#10;JAUK4QQpYGkcDs+YaseUOj1AIU39BRf+H5AaKBZ+Z2pE8Cp0tzHN/S1VOysam0OjBKopwXyHhLxS&#10;A4XAVBmn2HNp28Urd+5VfDEOU5BJoNhJTQtEK5Y22oFy/vtwya39qgEoCas4/DQPUQn0aInyE++d&#10;z+3ji3GY4kwChRC9xJGv/wiskYiQuMJPWElfdltP3oxHmsdSCLDMX55klKs/ni4SykIhq2DW8V5r&#10;bpwADZrlUT06qioAAAAASUVORK5CYIJQSwECLQAUAAYACAAAACEAsYJntgoBAAATAgAAEwAAAAAA&#10;AAAAAAAAAAAAAAAAW0NvbnRlbnRfVHlwZXNdLnhtbFBLAQItABQABgAIAAAAIQA4/SH/1gAAAJQB&#10;AAALAAAAAAAAAAAAAAAAADsBAABfcmVscy8ucmVsc1BLAQItABQABgAIAAAAIQD9oJVLNgQAADgK&#10;AAAOAAAAAAAAAAAAAAAAADoCAABkcnMvZTJvRG9jLnhtbFBLAQItABQABgAIAAAAIQCqJg6+vAAA&#10;ACEBAAAZAAAAAAAAAAAAAAAAAJwGAABkcnMvX3JlbHMvZTJvRG9jLnhtbC5yZWxzUEsBAi0AFAAG&#10;AAgAAAAhAOq+qP/hAAAACQEAAA8AAAAAAAAAAAAAAAAAjwcAAGRycy9kb3ducmV2LnhtbFBLAQIt&#10;AAoAAAAAAAAAIQC3iXxHhwMAAIcDAAAUAAAAAAAAAAAAAAAAAJ0IAABkcnMvbWVkaWEvaW1hZ2Ux&#10;LnBuZ1BLBQYAAAAABgAGAHwBAABW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otwgAAANoAAAAPAAAAZHJzL2Rvd25yZXYueG1sRI9Ba8JA&#10;FITvQv/D8gq9BN2YQw2pq4hS6K00xvsj+5oEs29jdjVJf31XEDwOM/MNs96OphU36l1jWcFyEYMg&#10;Lq1uuFJQHD/nKQjnkTW2lknBRA62m5fZGjNtB/6hW+4rESDsMlRQe99lUrqyJoNuYTvi4P3a3qAP&#10;sq+k7nEIcNPKJI7fpcGGw0KNHe1rKs/51ShwUSMvRX7V33u/utDflB6iU6rU2+u4+wDhafTP8KP9&#10;pRUkcL8SboDc/AMAAP//AwBQSwECLQAUAAYACAAAACEA2+H2y+4AAACFAQAAEwAAAAAAAAAAAAAA&#10;AAAAAAAAW0NvbnRlbnRfVHlwZXNdLnhtbFBLAQItABQABgAIAAAAIQBa9CxbvwAAABUBAAALAAAA&#10;AAAAAAAAAAAAAB8BAABfcmVscy8ucmVsc1BLAQItABQABgAIAAAAIQARfNotwgAAANoAAAAPAAAA&#10;AAAAAAAAAAAAAAcCAABkcnMvZG93bnJldi54bWxQSwUGAAAAAAMAAwC3AAAA9gIAAAAA&#10;" filled="f" stroked="f" strokecolor="black [3213]" strokeweight=".01pt">
                <v:textbox inset="0,0,0,0">
                  <w:txbxContent>
                    <w:p w:rsidR="007A6D3E" w:rsidRPr="007A6D3E" w:rsidRDefault="000057A1" w:rsidP="007A6D3E">
                      <w:pPr>
                        <w:pStyle w:val="Sidefod"/>
                        <w:rPr>
                          <w:sz w:val="20"/>
                          <w:szCs w:val="20"/>
                        </w:rPr>
                      </w:pPr>
                      <w:bookmarkStart w:id="3" w:name="bmkOvsPage"/>
                      <w:r w:rsidRPr="007A6D3E">
                        <w:rPr>
                          <w:sz w:val="20"/>
                          <w:szCs w:val="20"/>
                        </w:rPr>
                        <w:t>Side</w:t>
                      </w:r>
                      <w:bookmarkEnd w:id="3"/>
                      <w:r w:rsidRPr="007A6D3E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05570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74A6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4" w:name="bmkOvsOf"/>
                          <w:r w:rsidRPr="007A6D3E">
                            <w:rPr>
                              <w:sz w:val="20"/>
                              <w:szCs w:val="20"/>
                            </w:rPr>
                            <w:t>af</w:t>
                          </w:r>
                          <w:bookmarkEnd w:id="4"/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SECTIONPAGES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74A6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5" o:spid="_x0000_s1028" type="#_x0000_t75" style="position:absolute;left:35;top:1636;width:530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devwAAANsAAAAPAAAAZHJzL2Rvd25yZXYueG1sRE9Li8Iw&#10;EL4v+B/CCN7WtIKyVGMRH/i4rS4L3oZmbIvNpDSx1n9vBMHbfHzPmaWdqURLjSstK4iHEQjizOqS&#10;cwV/p833DwjnkTVWlknBgxyk897XDBNt7/xL7dHnIoSwS1BB4X2dSOmyggy6oa2JA3exjUEfYJNL&#10;3eA9hJtKjqJoIg2WHBoKrGlZUHY93oyC9dlpbvFRTnD1v+dDvD1VG1Zq0O8WUxCeOv8Rv907HeaP&#10;4fVLOEDOnwAAAP//AwBQSwECLQAUAAYACAAAACEA2+H2y+4AAACFAQAAEwAAAAAAAAAAAAAAAAAA&#10;AAAAW0NvbnRlbnRfVHlwZXNdLnhtbFBLAQItABQABgAIAAAAIQBa9CxbvwAAABUBAAALAAAAAAAA&#10;AAAAAAAAAB8BAABfcmVscy8ucmVsc1BLAQItABQABgAIAAAAIQC7FfdevwAAANsAAAAPAAAAAAAA&#10;AAAAAAAAAAcCAABkcnMvZG93bnJldi54bWxQSwUGAAAAAAMAAwC3AAAA8wIAAAAA&#10;">
                <v:imagedata r:id="rId2" o:title=""/>
                <v:path arrowok="t"/>
              </v:shape>
            </v:group>
          </w:pict>
        </mc:Fallback>
      </mc:AlternateContent>
    </w:r>
    <w:r w:rsidR="007374A6">
      <w:pict>
        <v:rect id="_x0000_i1026" style="width:481.9pt;height:1.5pt;mso-position-horizontal:absolute;mso-position-vertical:absolute" o:hralign="center" o:hrstd="t" o:hrnoshade="t" o:hr="t" fillcolor="#006" stroked="f"/>
      </w:pict>
    </w:r>
  </w:p>
  <w:p w:rsidR="00187667" w:rsidRDefault="000057A1" w:rsidP="00187667">
    <w:pPr>
      <w:pStyle w:val="Sidefod"/>
      <w:rPr>
        <w:sz w:val="20"/>
        <w:szCs w:val="20"/>
      </w:rPr>
    </w:pPr>
    <w:r w:rsidRPr="007A6D3E">
      <w:rPr>
        <w:sz w:val="20"/>
        <w:szCs w:val="20"/>
      </w:rPr>
      <w:t xml:space="preserve">Udarbejdet af </w:t>
    </w:r>
    <w:r>
      <w:rPr>
        <w:sz w:val="20"/>
        <w:szCs w:val="20"/>
      </w:rPr>
      <w:t>Mette Bechmann Westergaard</w:t>
    </w:r>
    <w:r w:rsidR="00F30BBF">
      <w:rPr>
        <w:sz w:val="20"/>
        <w:szCs w:val="20"/>
      </w:rPr>
      <w:t>, CFU Absalon</w:t>
    </w:r>
    <w:r w:rsidRPr="007A6D3E">
      <w:rPr>
        <w:sz w:val="20"/>
        <w:szCs w:val="20"/>
      </w:rPr>
      <w:t xml:space="preserve">, </w:t>
    </w:r>
    <w:r w:rsidR="00A57234">
      <w:rPr>
        <w:sz w:val="20"/>
        <w:szCs w:val="20"/>
      </w:rPr>
      <w:t>februar</w:t>
    </w:r>
    <w:r w:rsidR="00F30BBF">
      <w:rPr>
        <w:sz w:val="20"/>
        <w:szCs w:val="20"/>
      </w:rPr>
      <w:t xml:space="preserve"> 2018</w:t>
    </w:r>
    <w:r w:rsidRPr="007A6D3E">
      <w:rPr>
        <w:sz w:val="20"/>
        <w:szCs w:val="20"/>
      </w:rPr>
      <w:tab/>
    </w:r>
  </w:p>
  <w:p w:rsidR="007A6D3E" w:rsidRPr="007A6D3E" w:rsidRDefault="00A57234" w:rsidP="00187667">
    <w:pPr>
      <w:pStyle w:val="Sidefod"/>
      <w:rPr>
        <w:sz w:val="20"/>
        <w:szCs w:val="20"/>
      </w:rPr>
    </w:pPr>
    <w:r>
      <w:rPr>
        <w:sz w:val="20"/>
        <w:szCs w:val="20"/>
      </w:rPr>
      <w:t>Kviksand</w:t>
    </w:r>
  </w:p>
  <w:p w:rsidR="00187667" w:rsidRDefault="007374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A6" w:rsidRDefault="007374A6" w:rsidP="00EC22F5">
      <w:pPr>
        <w:spacing w:after="0"/>
      </w:pPr>
      <w:r>
        <w:separator/>
      </w:r>
    </w:p>
  </w:footnote>
  <w:footnote w:type="continuationSeparator" w:id="0">
    <w:p w:rsidR="007374A6" w:rsidRDefault="007374A6" w:rsidP="00EC2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04" w:rsidRDefault="000057A1" w:rsidP="00230C2A">
    <w:pPr>
      <w:pStyle w:val="Sidehoved"/>
      <w:tabs>
        <w:tab w:val="clear" w:pos="4819"/>
        <w:tab w:val="center" w:pos="0"/>
        <w:tab w:val="left" w:pos="4253"/>
      </w:tabs>
      <w:jc w:val="right"/>
      <w:rPr>
        <w:b/>
      </w:rPr>
    </w:pPr>
    <w:r w:rsidRPr="0048361D"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33A3D316" wp14:editId="2EE5B83A">
          <wp:simplePos x="0" y="0"/>
          <wp:positionH relativeFrom="margin">
            <wp:posOffset>13335</wp:posOffset>
          </wp:positionH>
          <wp:positionV relativeFrom="paragraph">
            <wp:posOffset>9525</wp:posOffset>
          </wp:positionV>
          <wp:extent cx="2362200" cy="354965"/>
          <wp:effectExtent l="0" t="0" r="0" b="6985"/>
          <wp:wrapSquare wrapText="bothSides"/>
          <wp:docPr id="5" name="Billede 5" descr="N:\Adm\CFU\Kommunikation\CFU Danmark\Logoer\Logo - CFU\Logo - tekst høj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Adm\CFU\Kommunikation\CFU Danmark\Logoer\Logo - CFU\Logo - tekst høj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</w:p>
  <w:p w:rsidR="002060D0" w:rsidRDefault="000057A1" w:rsidP="00DD516F">
    <w:pPr>
      <w:pStyle w:val="Sidehoved"/>
      <w:tabs>
        <w:tab w:val="clear" w:pos="4819"/>
        <w:tab w:val="center" w:pos="0"/>
        <w:tab w:val="left" w:pos="4253"/>
      </w:tabs>
      <w:jc w:val="right"/>
    </w:pPr>
    <w:r>
      <w:t>Pædagogisk vejledning</w:t>
    </w:r>
  </w:p>
  <w:p w:rsidR="00DD516F" w:rsidRDefault="002060D0" w:rsidP="002060D0">
    <w:pPr>
      <w:pStyle w:val="Sidehoved"/>
      <w:tabs>
        <w:tab w:val="clear" w:pos="4819"/>
        <w:tab w:val="center" w:pos="0"/>
        <w:tab w:val="left" w:pos="4253"/>
      </w:tabs>
      <w:jc w:val="right"/>
    </w:pPr>
    <w:r>
      <w:t xml:space="preserve"> </w:t>
    </w:r>
    <w:r w:rsidR="00DD516F">
      <w:t>http://mitcfu.dk/CFUEBOG1074911</w:t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DD516F" w:rsidRPr="00DD516F" w:rsidTr="00DD516F">
      <w:tc>
        <w:tcPr>
          <w:tcW w:w="0" w:type="auto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DD516F" w:rsidRPr="00DD516F" w:rsidRDefault="00DD516F" w:rsidP="00DD516F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da-DK"/>
            </w:rPr>
          </w:pPr>
        </w:p>
      </w:tc>
      <w:tc>
        <w:tcPr>
          <w:tcW w:w="0" w:type="auto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DD516F" w:rsidRPr="00DD516F" w:rsidRDefault="00DD516F" w:rsidP="00DD516F">
          <w:pPr>
            <w:spacing w:after="0"/>
            <w:rPr>
              <w:rFonts w:ascii="Helvetica" w:eastAsia="Times New Roman" w:hAnsi="Helvetica" w:cs="Helvetica"/>
              <w:color w:val="333333"/>
              <w:sz w:val="21"/>
              <w:szCs w:val="21"/>
              <w:lang w:eastAsia="da-DK"/>
            </w:rPr>
          </w:pPr>
        </w:p>
      </w:tc>
    </w:tr>
  </w:tbl>
  <w:p w:rsidR="000219C6" w:rsidRDefault="000219C6" w:rsidP="002060D0">
    <w:pPr>
      <w:pStyle w:val="Sidehoved"/>
      <w:tabs>
        <w:tab w:val="clear" w:pos="4819"/>
        <w:tab w:val="center" w:pos="0"/>
        <w:tab w:val="left" w:pos="4253"/>
      </w:tabs>
      <w:jc w:val="right"/>
    </w:pPr>
  </w:p>
  <w:p w:rsidR="00187667" w:rsidRDefault="007374A6" w:rsidP="00187667">
    <w:pPr>
      <w:pStyle w:val="Sidehoved"/>
      <w:jc w:val="right"/>
    </w:pPr>
    <w:r>
      <w:pict>
        <v:rect id="_x0000_i1025" style="width:481.9pt;height:1.5pt;mso-position-horizontal:absolute;mso-position-vertical:absolute" o:hralign="center" o:hrstd="t" o:hrnoshade="t" o:hr="t" fillcolor="#00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9AA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90591"/>
    <w:multiLevelType w:val="hybridMultilevel"/>
    <w:tmpl w:val="958CC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4641"/>
    <w:multiLevelType w:val="hybridMultilevel"/>
    <w:tmpl w:val="D9063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B479D"/>
    <w:multiLevelType w:val="hybridMultilevel"/>
    <w:tmpl w:val="50508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5FC2"/>
    <w:multiLevelType w:val="hybridMultilevel"/>
    <w:tmpl w:val="B9D6F7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3101B"/>
    <w:multiLevelType w:val="hybridMultilevel"/>
    <w:tmpl w:val="0846A2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5A3"/>
    <w:multiLevelType w:val="hybridMultilevel"/>
    <w:tmpl w:val="CBC4D1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80A9B"/>
    <w:multiLevelType w:val="hybridMultilevel"/>
    <w:tmpl w:val="FE0CC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2BD2"/>
    <w:multiLevelType w:val="hybridMultilevel"/>
    <w:tmpl w:val="9C32CC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F5"/>
    <w:rsid w:val="000057A1"/>
    <w:rsid w:val="00016FF3"/>
    <w:rsid w:val="000219C6"/>
    <w:rsid w:val="0007287A"/>
    <w:rsid w:val="00084FD1"/>
    <w:rsid w:val="000A5924"/>
    <w:rsid w:val="00121184"/>
    <w:rsid w:val="001222CD"/>
    <w:rsid w:val="00132595"/>
    <w:rsid w:val="00170DB6"/>
    <w:rsid w:val="001E095B"/>
    <w:rsid w:val="001F2768"/>
    <w:rsid w:val="002060D0"/>
    <w:rsid w:val="00220EDC"/>
    <w:rsid w:val="00252999"/>
    <w:rsid w:val="002751FB"/>
    <w:rsid w:val="002753AB"/>
    <w:rsid w:val="002824FC"/>
    <w:rsid w:val="00297799"/>
    <w:rsid w:val="002C2C51"/>
    <w:rsid w:val="002F588E"/>
    <w:rsid w:val="00355102"/>
    <w:rsid w:val="00372EEC"/>
    <w:rsid w:val="00382687"/>
    <w:rsid w:val="00390BC7"/>
    <w:rsid w:val="00401133"/>
    <w:rsid w:val="00410626"/>
    <w:rsid w:val="0041405E"/>
    <w:rsid w:val="004848BD"/>
    <w:rsid w:val="004A0175"/>
    <w:rsid w:val="004B2008"/>
    <w:rsid w:val="004C64B9"/>
    <w:rsid w:val="004F35EF"/>
    <w:rsid w:val="00521DC7"/>
    <w:rsid w:val="0052475F"/>
    <w:rsid w:val="005460E9"/>
    <w:rsid w:val="005472AF"/>
    <w:rsid w:val="00562E44"/>
    <w:rsid w:val="00581EEF"/>
    <w:rsid w:val="00592201"/>
    <w:rsid w:val="00594895"/>
    <w:rsid w:val="005A3F80"/>
    <w:rsid w:val="006134E8"/>
    <w:rsid w:val="006604BB"/>
    <w:rsid w:val="00682CFE"/>
    <w:rsid w:val="00686B18"/>
    <w:rsid w:val="00693CBC"/>
    <w:rsid w:val="00726F19"/>
    <w:rsid w:val="007374A6"/>
    <w:rsid w:val="0078528C"/>
    <w:rsid w:val="007C006D"/>
    <w:rsid w:val="007D63FB"/>
    <w:rsid w:val="007F023C"/>
    <w:rsid w:val="008535A9"/>
    <w:rsid w:val="0088025E"/>
    <w:rsid w:val="008C0532"/>
    <w:rsid w:val="008D1CD6"/>
    <w:rsid w:val="008F1DB7"/>
    <w:rsid w:val="0094274A"/>
    <w:rsid w:val="00952DCF"/>
    <w:rsid w:val="00963401"/>
    <w:rsid w:val="00990274"/>
    <w:rsid w:val="009C0CD6"/>
    <w:rsid w:val="00A10AB3"/>
    <w:rsid w:val="00A230C1"/>
    <w:rsid w:val="00A3086D"/>
    <w:rsid w:val="00A4061E"/>
    <w:rsid w:val="00A57234"/>
    <w:rsid w:val="00AA29D6"/>
    <w:rsid w:val="00B13248"/>
    <w:rsid w:val="00B273D1"/>
    <w:rsid w:val="00B5730A"/>
    <w:rsid w:val="00B76F71"/>
    <w:rsid w:val="00B9000C"/>
    <w:rsid w:val="00C378C2"/>
    <w:rsid w:val="00C63EEB"/>
    <w:rsid w:val="00CA730D"/>
    <w:rsid w:val="00CD2AD0"/>
    <w:rsid w:val="00D2766D"/>
    <w:rsid w:val="00D36824"/>
    <w:rsid w:val="00D46AE0"/>
    <w:rsid w:val="00D61F60"/>
    <w:rsid w:val="00DC4F4F"/>
    <w:rsid w:val="00DD516F"/>
    <w:rsid w:val="00E0600E"/>
    <w:rsid w:val="00E275BF"/>
    <w:rsid w:val="00E75035"/>
    <w:rsid w:val="00EB73D2"/>
    <w:rsid w:val="00EC22F5"/>
    <w:rsid w:val="00F30BBF"/>
    <w:rsid w:val="00F61578"/>
    <w:rsid w:val="00F65D22"/>
    <w:rsid w:val="00F76235"/>
    <w:rsid w:val="00F838AF"/>
    <w:rsid w:val="00FA1C77"/>
    <w:rsid w:val="00FC46D2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8119D2-2F9F-423A-8F41-0EE0DDE4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F5"/>
    <w:pPr>
      <w:spacing w:after="20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C2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22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EC22F5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C22F5"/>
  </w:style>
  <w:style w:type="paragraph" w:styleId="Sidefod">
    <w:name w:val="footer"/>
    <w:basedOn w:val="Normal"/>
    <w:link w:val="SidefodTegn"/>
    <w:uiPriority w:val="2"/>
    <w:unhideWhenUsed/>
    <w:rsid w:val="00EC22F5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2"/>
    <w:rsid w:val="00EC22F5"/>
  </w:style>
  <w:style w:type="character" w:styleId="Hyperlink">
    <w:name w:val="Hyperlink"/>
    <w:basedOn w:val="Standardskrifttypeiafsnit"/>
    <w:unhideWhenUsed/>
    <w:rsid w:val="00EC22F5"/>
    <w:rPr>
      <w:color w:val="0563C1" w:themeColor="hyperlink"/>
      <w:u w:val="single"/>
    </w:rPr>
  </w:style>
  <w:style w:type="paragraph" w:styleId="Listeafsnit">
    <w:name w:val="List Paragraph"/>
    <w:basedOn w:val="Normal"/>
    <w:qFormat/>
    <w:rsid w:val="00EC22F5"/>
    <w:pPr>
      <w:ind w:left="720"/>
      <w:contextualSpacing/>
    </w:pPr>
  </w:style>
  <w:style w:type="paragraph" w:styleId="Ingenafstand">
    <w:name w:val="No Spacing"/>
    <w:uiPriority w:val="1"/>
    <w:qFormat/>
    <w:rsid w:val="00EC22F5"/>
    <w:pPr>
      <w:spacing w:after="0" w:line="240" w:lineRule="auto"/>
    </w:pPr>
  </w:style>
  <w:style w:type="table" w:styleId="Tabel-Gitter">
    <w:name w:val="Table Grid"/>
    <w:basedOn w:val="Tabel-Normal"/>
    <w:uiPriority w:val="59"/>
    <w:rsid w:val="00EC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EC22F5"/>
    <w:p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0219C6"/>
    <w:rPr>
      <w:color w:val="954F72" w:themeColor="followedHyperlink"/>
      <w:u w:val="single"/>
    </w:rPr>
  </w:style>
  <w:style w:type="paragraph" w:customStyle="1" w:styleId="Default">
    <w:name w:val="Default"/>
    <w:rsid w:val="00206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6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194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Bechmann Westergaard</dc:creator>
  <cp:keywords/>
  <dc:description/>
  <cp:lastModifiedBy>Karin Abrahamsen (KAAB) | VIA</cp:lastModifiedBy>
  <cp:revision>2</cp:revision>
  <dcterms:created xsi:type="dcterms:W3CDTF">2018-02-28T16:42:00Z</dcterms:created>
  <dcterms:modified xsi:type="dcterms:W3CDTF">2018-02-28T16:42:00Z</dcterms:modified>
</cp:coreProperties>
</file>