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9D" w:rsidRDefault="006826F6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3.4pt;margin-top:2.9pt;width:88.25pt;height:70.55pt;z-index:251662336;mso-position-horizontal-relative:text;mso-position-vertical-relative:text;mso-width-relative:page;mso-height-relative:page">
            <v:imagedata r:id="rId7" o:title=""/>
          </v:shape>
          <o:OLEObject Type="Embed" ProgID="PBrush" ShapeID="_x0000_s1026" DrawAspect="Content" ObjectID="_1659878198" r:id="rId8"/>
        </w:object>
      </w:r>
      <w:r w:rsidR="001774A7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927100" cy="800100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119D" w:rsidRDefault="000F119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position:absolute;margin-left:397.5pt;margin-top:5.25pt;width:73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Z6LgIAAEMEAAAOAAAAZHJzL2Uyb0RvYy54bWysU9uO0zAQfUfiHyy/0zRpu02qpiu03SKk&#10;FVux8AGu7SQWvmG7Tfr3jJ2yLfCAhHhxZuLjMzNnZtb3g5LoxJ0XRtc4n0wx4poaJnRb469fdu9K&#10;jHwgmhFpNK/xmXt8v3n7Zt3bFS9MZyTjDgGJ9qve1rgLwa6yzNOOK+InxnINl41xigRwXZsxR3pg&#10;VzIrptO7rDeOWWco9x7+bsdLvEn8TcNpeG4azwOSNYbcQjpdOg/xzDZrsmodsZ2glzTIP2ShiNAQ&#10;9JVqSwJBRyf+oFKCOuNNEybUqMw0jaA81QDV5NPfqnnpiOWpFhDH21eZ/P+jpZ9Oe4cEq3GBkSYK&#10;WvSZf4OGtVyiIsrTW78C1Ivdu4vnwYy1Do1T8QtVoKHG87KsykWF0bnGs1l5N5te5OVDQBQAVV4U&#10;5QwjCoBluZyP99mVyDofPnCjUDRq7KB7SVRyevIBggP0JyTG1WYnpEwdlBr1MH6LcrkAfgKD1EgS&#10;wFQWSvO6TTzeSMHim/jau/bwIB06ERiNWbV4LKtYLsT4BRYDbonvRhwDa5wZZ46apdgdJ+xRMxTO&#10;FtTTMOY4JuMVRpLDUoCRcIEI+XccxJca0oiyj0JHKwyHIXUpj1zxz8GwM3TOW7oTkOIT8WFPHMxu&#10;DtFhniHu9yNxkIv8qGFgqnxegDbh1nG3zuHWIZp2BtaEBofR6DyEtDaj8O+PwTQi9eSazCVrmNQk&#10;42Wr4irc+gl13f3NDwAAAP//AwBQSwMEFAAGAAgAAAAhAPGDS2DeAAAACgEAAA8AAABkcnMvZG93&#10;bnJldi54bWxMj0tPwzAQhO9I/AdrkbhRu9CUJsSpEFIvqOJRqp7deEki/IiybhP+PcsJjjszmv2m&#10;XE/eiTMO1MWgYT5TIDDU0Xah0bD/2NysQFAywRoXA2r4RoJ1dXlRmsLGMbzjeZcawSWBCqOhTakv&#10;pKS6RW9oFnsM7H3GwZvE59BIO5iRy72Tt0otpTdd4A+t6fGpxfprd/Ia5MvzdrVQlN5eu5hvqdkc&#10;aHRaX19Njw8gEk7pLwy/+IwOFTMd4ylYEk7DfZ7xlsSGykBwIF/MWTiycLfMQFal/D+h+gEAAP//&#10;AwBQSwECLQAUAAYACAAAACEAtoM4kv4AAADhAQAAEwAAAAAAAAAAAAAAAAAAAAAAW0NvbnRlbnRf&#10;VHlwZXNdLnhtbFBLAQItABQABgAIAAAAIQA4/SH/1gAAAJQBAAALAAAAAAAAAAAAAAAAAC8BAABf&#10;cmVscy8ucmVsc1BLAQItABQABgAIAAAAIQA28LZ6LgIAAEMEAAAOAAAAAAAAAAAAAAAAAC4CAABk&#10;cnMvZTJvRG9jLnhtbFBLAQItABQABgAIAAAAIQDxg0tg3gAAAAoBAAAPAAAAAAAAAAAAAAAAAIgE&#10;AABkcnMvZG93bnJldi54bWxQSwUGAAAAAAQABADzAAAAkwUAAAAA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:rsidR="000F119D" w:rsidRDefault="000F119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774A7">
        <w:rPr>
          <w:noProof/>
          <w:lang w:val="da-DK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123825</wp:posOffset>
                </wp:positionV>
                <wp:extent cx="812800" cy="711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0129" y="3426517"/>
                          <a:ext cx="811742" cy="70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119D" w:rsidRDefault="001774A7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QR-kode</w:t>
                            </w:r>
                          </w:p>
                          <w:p w:rsidR="000F119D" w:rsidRDefault="001774A7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Fører til posten i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mitCFU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123825</wp:posOffset>
                </wp:positionV>
                <wp:extent cx="812800" cy="711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62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18"/>
        <w:gridCol w:w="7509"/>
      </w:tblGrid>
      <w:tr w:rsidR="000F119D">
        <w:trPr>
          <w:trHeight w:val="200"/>
        </w:trPr>
        <w:tc>
          <w:tcPr>
            <w:tcW w:w="1620" w:type="dxa"/>
          </w:tcPr>
          <w:p w:rsidR="000F119D" w:rsidRDefault="001774A7">
            <w:pPr>
              <w:pStyle w:val="Overskrift1"/>
              <w:widowControl w:val="0"/>
              <w:spacing w:before="0"/>
              <w:outlineLvl w:val="0"/>
              <w:rPr>
                <w:rFonts w:ascii="Cambria" w:eastAsia="Cambria" w:hAnsi="Cambria" w:cs="Cambria"/>
                <w:b/>
                <w:color w:val="366091"/>
                <w:sz w:val="28"/>
                <w:szCs w:val="28"/>
              </w:rPr>
            </w:pPr>
            <w:bookmarkStart w:id="0" w:name="_y4h83mpr4gsh" w:colFirst="0" w:colLast="0"/>
            <w:bookmarkEnd w:id="0"/>
            <w:r>
              <w:rPr>
                <w:rFonts w:ascii="Calibri" w:eastAsia="Calibri" w:hAnsi="Calibri" w:cs="Calibri"/>
                <w:b/>
                <w:color w:val="1D266B"/>
                <w:sz w:val="36"/>
                <w:szCs w:val="36"/>
              </w:rPr>
              <w:t>Titel</w:t>
            </w:r>
            <w:r>
              <w:rPr>
                <w:rFonts w:ascii="Calibri" w:eastAsia="Calibri" w:hAnsi="Calibri" w:cs="Calibri"/>
                <w:b/>
                <w:color w:val="1D266B"/>
                <w:sz w:val="32"/>
                <w:szCs w:val="32"/>
              </w:rPr>
              <w:t xml:space="preserve"> </w:t>
            </w:r>
          </w:p>
        </w:tc>
        <w:tc>
          <w:tcPr>
            <w:tcW w:w="5745" w:type="dxa"/>
          </w:tcPr>
          <w:p w:rsidR="000F119D" w:rsidRDefault="001774A7">
            <w:pPr>
              <w:widowControl w:val="0"/>
              <w:rPr>
                <w:rFonts w:ascii="Calibri" w:eastAsia="Calibri" w:hAnsi="Calibri" w:cs="Calibri"/>
                <w:b/>
                <w:color w:val="000066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66"/>
                <w:sz w:val="36"/>
                <w:szCs w:val="36"/>
              </w:rPr>
              <w:t>Mellem os - Bro</w:t>
            </w:r>
          </w:p>
        </w:tc>
      </w:tr>
      <w:tr w:rsidR="000F119D">
        <w:trPr>
          <w:trHeight w:val="240"/>
        </w:trPr>
        <w:tc>
          <w:tcPr>
            <w:tcW w:w="1620" w:type="dxa"/>
          </w:tcPr>
          <w:p w:rsidR="000F119D" w:rsidRDefault="001774A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om e-bog:</w:t>
            </w:r>
          </w:p>
          <w:p w:rsidR="000F119D" w:rsidRDefault="001774A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Tema:</w:t>
            </w:r>
          </w:p>
        </w:tc>
        <w:tc>
          <w:tcPr>
            <w:tcW w:w="5745" w:type="dxa"/>
          </w:tcPr>
          <w:p w:rsidR="000F119D" w:rsidRDefault="001774A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Carlsenpuls 2018</w:t>
            </w:r>
          </w:p>
          <w:p w:rsidR="000F119D" w:rsidRDefault="001774A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Familie, identitet, køn, seksualitet, kærlighed</w:t>
            </w:r>
          </w:p>
        </w:tc>
      </w:tr>
      <w:tr w:rsidR="000F119D">
        <w:trPr>
          <w:trHeight w:val="200"/>
        </w:trPr>
        <w:tc>
          <w:tcPr>
            <w:tcW w:w="1620" w:type="dxa"/>
          </w:tcPr>
          <w:p w:rsidR="000F119D" w:rsidRDefault="001774A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Fag:</w:t>
            </w:r>
          </w:p>
        </w:tc>
        <w:tc>
          <w:tcPr>
            <w:tcW w:w="5745" w:type="dxa"/>
          </w:tcPr>
          <w:p w:rsidR="000F119D" w:rsidRDefault="001774A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Dansk</w:t>
            </w:r>
          </w:p>
        </w:tc>
      </w:tr>
      <w:tr w:rsidR="000F119D">
        <w:trPr>
          <w:trHeight w:val="200"/>
        </w:trPr>
        <w:tc>
          <w:tcPr>
            <w:tcW w:w="1620" w:type="dxa"/>
          </w:tcPr>
          <w:p w:rsidR="000F119D" w:rsidRDefault="001774A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Målgruppe:</w:t>
            </w:r>
          </w:p>
          <w:p w:rsidR="000F119D" w:rsidRDefault="000F119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</w:tcPr>
          <w:p w:rsidR="000F119D" w:rsidRDefault="001774A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7., 8. og 9. klasse</w:t>
            </w:r>
          </w:p>
        </w:tc>
      </w:tr>
      <w:tr w:rsidR="000F119D">
        <w:tc>
          <w:tcPr>
            <w:tcW w:w="1620" w:type="dxa"/>
          </w:tcPr>
          <w:p w:rsidR="000F119D" w:rsidRDefault="000F119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</w:tcPr>
          <w:p w:rsidR="000F119D" w:rsidRDefault="000F119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0F119D" w:rsidRDefault="001774A7">
      <w:pPr>
        <w:pStyle w:val="Overskrift1"/>
        <w:widowControl w:val="0"/>
        <w:spacing w:line="240" w:lineRule="auto"/>
        <w:rPr>
          <w:b/>
          <w:color w:val="000066"/>
          <w:sz w:val="36"/>
          <w:szCs w:val="36"/>
        </w:rPr>
      </w:pPr>
      <w:bookmarkStart w:id="1" w:name="_oj71x95hiu75" w:colFirst="0" w:colLast="0"/>
      <w:bookmarkEnd w:id="1"/>
      <w:r>
        <w:rPr>
          <w:b/>
          <w:color w:val="000066"/>
          <w:sz w:val="36"/>
          <w:szCs w:val="36"/>
        </w:rPr>
        <w:t>Om novellesamli</w:t>
      </w:r>
      <w:r>
        <w:rPr>
          <w:b/>
          <w:color w:val="000066"/>
          <w:sz w:val="36"/>
          <w:szCs w:val="36"/>
        </w:rPr>
        <w:t>ngen</w:t>
      </w:r>
      <w:bookmarkStart w:id="2" w:name="_GoBack"/>
      <w:bookmarkEnd w:id="2"/>
    </w:p>
    <w:p w:rsidR="000F119D" w:rsidRDefault="001774A7">
      <w:r>
        <w:t>Både unge og garvede og forfattere har bidraget til denne samling ungdomsnoveller, som alle kredser om den umulige familie. De ti unge hovedpersoner lever i meget forskellige familiestrukturer og samfundslag, men bøvler alle med deres familierelationer.</w:t>
      </w:r>
    </w:p>
    <w:p w:rsidR="000F119D" w:rsidRDefault="000F119D"/>
    <w:p w:rsidR="000F119D" w:rsidRDefault="001774A7">
      <w:r>
        <w:t>A</w:t>
      </w:r>
      <w:r>
        <w:t xml:space="preserve">lle deres familier falder på den ene eller anden måde uden for middelklassens normer, og hovedpersonen skal finde sit eget fodfæste i det unormale. Novellesamlingen giver et mangfoldigt perspektiv på køn, seksualitet, forældreskab, kærlighed og klasse, og </w:t>
      </w:r>
      <w:r>
        <w:t xml:space="preserve">der sættes spørgsmålstegn ved gældende stereotyper.                                                                                     </w:t>
      </w:r>
    </w:p>
    <w:p w:rsidR="000F119D" w:rsidRDefault="000F119D"/>
    <w:p w:rsidR="000F119D" w:rsidRDefault="001774A7">
      <w:r>
        <w:t xml:space="preserve">Elever i udskolingen vil kunne genkende nogle af </w:t>
      </w:r>
      <w:proofErr w:type="spellStart"/>
      <w:r>
        <w:t>familieproblematikerne</w:t>
      </w:r>
      <w:proofErr w:type="spellEnd"/>
      <w:r>
        <w:t xml:space="preserve"> fra deres eget liv, men vil også møde karakter</w:t>
      </w:r>
      <w:r>
        <w:t xml:space="preserve">er og miljøer i novellerne, som er meget anderledes. </w:t>
      </w:r>
    </w:p>
    <w:p w:rsidR="000F119D" w:rsidRDefault="000F119D"/>
    <w:p w:rsidR="000F119D" w:rsidRDefault="001774A7">
      <w:r>
        <w:t xml:space="preserve">Disse moderne noveller har de tomme pladser og den korte form til fælles, mens sprog og litterære virkemidler varierer meget. Denne vejledning knytter sig e-bogens </w:t>
      </w:r>
      <w:proofErr w:type="spellStart"/>
      <w:r>
        <w:t>overlay</w:t>
      </w:r>
      <w:proofErr w:type="spellEnd"/>
      <w:r>
        <w:t xml:space="preserve"> i novellen ‘Bro’ af Tomas Lag</w:t>
      </w:r>
      <w:r>
        <w:t xml:space="preserve">ermand </w:t>
      </w:r>
      <w:proofErr w:type="spellStart"/>
      <w:r>
        <w:t>Ludme</w:t>
      </w:r>
      <w:proofErr w:type="spellEnd"/>
      <w:r>
        <w:t xml:space="preserve">. Hovedpersonen ankommer til sin nye plejefamilie på Samsø og bliver forelsket i sin plejebror. Hovedpersonens køn bliver ikke nævnt, hvilket åbner for en bredere forståelse af køn. </w:t>
      </w:r>
    </w:p>
    <w:p w:rsidR="000F119D" w:rsidRDefault="000F119D"/>
    <w:p w:rsidR="000F119D" w:rsidRDefault="001774A7">
      <w:pPr>
        <w:rPr>
          <w:b/>
          <w:color w:val="000066"/>
          <w:sz w:val="36"/>
          <w:szCs w:val="36"/>
        </w:rPr>
      </w:pPr>
      <w:r>
        <w:rPr>
          <w:b/>
          <w:color w:val="000066"/>
          <w:sz w:val="36"/>
          <w:szCs w:val="36"/>
        </w:rPr>
        <w:t xml:space="preserve">Faglig relevans/kompetenceområder </w:t>
      </w:r>
    </w:p>
    <w:p w:rsidR="000F119D" w:rsidRDefault="001774A7">
      <w:r>
        <w:t xml:space="preserve">I </w:t>
      </w:r>
      <w:proofErr w:type="spellStart"/>
      <w:r>
        <w:t>overlayet</w:t>
      </w:r>
      <w:proofErr w:type="spellEnd"/>
      <w:r>
        <w:t xml:space="preserve"> finder I elev</w:t>
      </w:r>
      <w:r>
        <w:t xml:space="preserve">opgaver og forklaring af litterære begreber, som peger ind i kompetenceområdet </w:t>
      </w:r>
      <w:r>
        <w:rPr>
          <w:i/>
        </w:rPr>
        <w:t>fortolkning</w:t>
      </w:r>
      <w:r>
        <w:t>.</w:t>
      </w:r>
      <w:r>
        <w:rPr>
          <w:b/>
        </w:rPr>
        <w:t xml:space="preserve"> </w:t>
      </w:r>
      <w:proofErr w:type="spellStart"/>
      <w:r>
        <w:t>Overlayet</w:t>
      </w:r>
      <w:proofErr w:type="spellEnd"/>
      <w:r>
        <w:t xml:space="preserve"> består af markeringer i teksten, som har til formål at åbne teksten og sætte gang i en tekstnær undersøgelse, meddigtning og fordybelse, inden eleverne på</w:t>
      </w:r>
      <w:r>
        <w:t xml:space="preserve"> egen hånd arbejder med de øvrige noveller. </w:t>
      </w:r>
    </w:p>
    <w:p w:rsidR="000F119D" w:rsidRDefault="000F119D"/>
    <w:p w:rsidR="000F119D" w:rsidRDefault="001774A7">
      <w:pPr>
        <w:rPr>
          <w:i/>
        </w:rPr>
      </w:pPr>
      <w:r>
        <w:t xml:space="preserve">Læringsmål: </w:t>
      </w:r>
      <w:r>
        <w:rPr>
          <w:i/>
        </w:rPr>
        <w:t>Eleverne kan….</w:t>
      </w:r>
    </w:p>
    <w:p w:rsidR="000F119D" w:rsidRDefault="000F119D"/>
    <w:p w:rsidR="000F119D" w:rsidRDefault="001774A7">
      <w:pPr>
        <w:numPr>
          <w:ilvl w:val="0"/>
          <w:numId w:val="1"/>
        </w:numPr>
        <w:rPr>
          <w:i/>
        </w:rPr>
      </w:pPr>
      <w:r>
        <w:rPr>
          <w:i/>
        </w:rPr>
        <w:t>gå på opdagelse i teksten og aktivere deres forforståelse</w:t>
      </w:r>
    </w:p>
    <w:p w:rsidR="000F119D" w:rsidRDefault="001774A7">
      <w:pPr>
        <w:numPr>
          <w:ilvl w:val="0"/>
          <w:numId w:val="1"/>
        </w:numPr>
        <w:rPr>
          <w:i/>
        </w:rPr>
      </w:pPr>
      <w:r>
        <w:rPr>
          <w:i/>
        </w:rPr>
        <w:t xml:space="preserve">arbejde tekstnært og undersøge relationer, roller og billedsprog </w:t>
      </w:r>
    </w:p>
    <w:p w:rsidR="000F119D" w:rsidRDefault="001774A7">
      <w:pPr>
        <w:numPr>
          <w:ilvl w:val="0"/>
          <w:numId w:val="1"/>
        </w:numPr>
        <w:rPr>
          <w:i/>
        </w:rPr>
      </w:pPr>
      <w:r>
        <w:rPr>
          <w:i/>
        </w:rPr>
        <w:t>udvikle og bruge et litterært metasprog</w:t>
      </w:r>
    </w:p>
    <w:p w:rsidR="000F119D" w:rsidRDefault="001774A7">
      <w:r>
        <w:br w:type="page"/>
      </w:r>
    </w:p>
    <w:p w:rsidR="000F119D" w:rsidRDefault="001774A7">
      <w:proofErr w:type="spellStart"/>
      <w:r>
        <w:rPr>
          <w:b/>
          <w:color w:val="000066"/>
          <w:sz w:val="36"/>
          <w:szCs w:val="36"/>
        </w:rPr>
        <w:lastRenderedPageBreak/>
        <w:t>Overlay</w:t>
      </w:r>
      <w:proofErr w:type="spellEnd"/>
    </w:p>
    <w:p w:rsidR="000F119D" w:rsidRDefault="001774A7">
      <w:proofErr w:type="spellStart"/>
      <w:r>
        <w:t>Overlaye</w:t>
      </w:r>
      <w:r>
        <w:t>t</w:t>
      </w:r>
      <w:proofErr w:type="spellEnd"/>
      <w:r>
        <w:t xml:space="preserve"> indeholder elevopgaver til novellen ‘Bro’. </w:t>
      </w:r>
      <w:proofErr w:type="spellStart"/>
      <w:r>
        <w:t>Overlayet</w:t>
      </w:r>
      <w:proofErr w:type="spellEnd"/>
      <w:r>
        <w:t xml:space="preserve"> består af en række markeringer i forskellige farver, hvor eleverne undersøger teksten, mens og efter de har hørt/læst novellen første gang. Opgaverne i denne novelle kan være eksemplariske i forhold ti</w:t>
      </w:r>
      <w:r>
        <w:t xml:space="preserve">l, hvordan eleverne selvstændigt kan arbejde med de øvrige noveller. </w:t>
      </w:r>
      <w:proofErr w:type="spellStart"/>
      <w:r>
        <w:t>Overlayet</w:t>
      </w:r>
      <w:proofErr w:type="spellEnd"/>
      <w:r>
        <w:t xml:space="preserve"> har følgende farvemarkeringer:</w:t>
      </w:r>
    </w:p>
    <w:p w:rsidR="000F119D" w:rsidRDefault="000F119D">
      <w:pPr>
        <w:rPr>
          <w:b/>
          <w:highlight w:val="white"/>
        </w:rPr>
      </w:pPr>
    </w:p>
    <w:p w:rsidR="000F119D" w:rsidRDefault="001774A7">
      <w:pPr>
        <w:numPr>
          <w:ilvl w:val="0"/>
          <w:numId w:val="2"/>
        </w:numPr>
        <w:rPr>
          <w:b/>
          <w:color w:val="FF00FF"/>
        </w:rPr>
      </w:pPr>
      <w:r>
        <w:rPr>
          <w:b/>
          <w:color w:val="FF00FF"/>
        </w:rPr>
        <w:t>Stop-op (violet)</w:t>
      </w:r>
    </w:p>
    <w:p w:rsidR="000F119D" w:rsidRDefault="001774A7">
      <w:pPr>
        <w:numPr>
          <w:ilvl w:val="0"/>
          <w:numId w:val="2"/>
        </w:numPr>
        <w:rPr>
          <w:b/>
          <w:color w:val="1155CC"/>
          <w:highlight w:val="white"/>
        </w:rPr>
      </w:pPr>
      <w:r>
        <w:rPr>
          <w:b/>
          <w:color w:val="1155CC"/>
          <w:highlight w:val="white"/>
        </w:rPr>
        <w:t>Roller (blå)</w:t>
      </w:r>
    </w:p>
    <w:p w:rsidR="000F119D" w:rsidRDefault="001774A7">
      <w:pPr>
        <w:numPr>
          <w:ilvl w:val="0"/>
          <w:numId w:val="2"/>
        </w:numPr>
        <w:rPr>
          <w:b/>
          <w:color w:val="FF9900"/>
          <w:highlight w:val="white"/>
        </w:rPr>
      </w:pPr>
      <w:r>
        <w:rPr>
          <w:b/>
          <w:color w:val="FF9900"/>
          <w:highlight w:val="white"/>
        </w:rPr>
        <w:t>Relationer (orange)</w:t>
      </w:r>
    </w:p>
    <w:p w:rsidR="000F119D" w:rsidRDefault="001774A7">
      <w:pPr>
        <w:numPr>
          <w:ilvl w:val="0"/>
          <w:numId w:val="2"/>
        </w:numPr>
        <w:spacing w:after="200"/>
        <w:rPr>
          <w:b/>
          <w:color w:val="38761D"/>
          <w:highlight w:val="white"/>
        </w:rPr>
      </w:pPr>
      <w:r>
        <w:rPr>
          <w:b/>
          <w:color w:val="38761D"/>
          <w:highlight w:val="white"/>
        </w:rPr>
        <w:t>Litterære virkemidler (grøn)</w:t>
      </w:r>
    </w:p>
    <w:p w:rsidR="000F119D" w:rsidRDefault="001774A7">
      <w:pPr>
        <w:pStyle w:val="Overskrift1"/>
        <w:widowControl w:val="0"/>
        <w:spacing w:before="0" w:line="240" w:lineRule="auto"/>
      </w:pPr>
      <w:bookmarkStart w:id="3" w:name="_80hpi9ljru0p" w:colFirst="0" w:colLast="0"/>
      <w:bookmarkEnd w:id="3"/>
      <w:r>
        <w:rPr>
          <w:b/>
          <w:color w:val="000066"/>
          <w:sz w:val="36"/>
          <w:szCs w:val="36"/>
        </w:rPr>
        <w:t>Ideer til undervisningen</w:t>
      </w:r>
    </w:p>
    <w:p w:rsidR="000F119D" w:rsidRDefault="001774A7">
      <w:pPr>
        <w:spacing w:after="200"/>
      </w:pPr>
      <w:r>
        <w:t>Arbejdet med novellen ‘Bro’</w:t>
      </w:r>
      <w:r>
        <w:t xml:space="preserve"> er bygget op efter de velkendte faser i litteraturlæsning: </w:t>
      </w:r>
      <w:r>
        <w:rPr>
          <w:i/>
        </w:rPr>
        <w:t>før</w:t>
      </w:r>
      <w:r>
        <w:t xml:space="preserve">, </w:t>
      </w:r>
      <w:r>
        <w:rPr>
          <w:i/>
        </w:rPr>
        <w:t>under</w:t>
      </w:r>
      <w:r>
        <w:t xml:space="preserve"> og </w:t>
      </w:r>
      <w:r>
        <w:rPr>
          <w:i/>
        </w:rPr>
        <w:t>efter</w:t>
      </w:r>
      <w:r>
        <w:t>. Eleverne kan arbejde i fem grupper, som består af flere makkerpar.</w:t>
      </w:r>
    </w:p>
    <w:p w:rsidR="000F119D" w:rsidRDefault="001774A7">
      <w:pPr>
        <w:pStyle w:val="Overskrift2"/>
        <w:spacing w:before="0" w:after="0" w:line="240" w:lineRule="auto"/>
        <w:rPr>
          <w:sz w:val="22"/>
          <w:szCs w:val="22"/>
          <w:highlight w:val="magenta"/>
        </w:rPr>
      </w:pPr>
      <w:bookmarkStart w:id="4" w:name="_56ndstp7zibn" w:colFirst="0" w:colLast="0"/>
      <w:bookmarkEnd w:id="4"/>
      <w:r>
        <w:t>Før og under læsning</w:t>
      </w:r>
      <w:r>
        <w:rPr>
          <w:noProof/>
          <w:lang w:val="da-DK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3486150</wp:posOffset>
            </wp:positionH>
            <wp:positionV relativeFrom="paragraph">
              <wp:posOffset>1024125</wp:posOffset>
            </wp:positionV>
            <wp:extent cx="2314575" cy="3800475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806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80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119D" w:rsidRDefault="001774A7">
      <w:pPr>
        <w:spacing w:after="200" w:line="240" w:lineRule="auto"/>
      </w:pPr>
      <w:r>
        <w:rPr>
          <w:highlight w:val="magenta"/>
        </w:rPr>
        <w:t xml:space="preserve"> STOP-</w:t>
      </w:r>
      <w:proofErr w:type="gramStart"/>
      <w:r>
        <w:rPr>
          <w:highlight w:val="magenta"/>
        </w:rPr>
        <w:t xml:space="preserve">OP </w:t>
      </w:r>
      <w:r>
        <w:rPr>
          <w:b/>
        </w:rPr>
        <w:t xml:space="preserve"> </w:t>
      </w:r>
      <w:r>
        <w:t>Spørgsmålene</w:t>
      </w:r>
      <w:proofErr w:type="gramEnd"/>
      <w:r>
        <w:t xml:space="preserve"> i de violette markeringer lægger op til langsomlæsning, før og </w:t>
      </w:r>
      <w:r>
        <w:t xml:space="preserve">mens læreren læser novellen højt. Formålet er at åbne teksten og styrke læseforståelsen. Hold pause og lad eleverne undersøge, gætte og aktivere deres forforståelse om </w:t>
      </w:r>
      <w:r>
        <w:rPr>
          <w:i/>
        </w:rPr>
        <w:t>titel</w:t>
      </w:r>
      <w:r>
        <w:t xml:space="preserve">, </w:t>
      </w:r>
      <w:r>
        <w:rPr>
          <w:i/>
        </w:rPr>
        <w:t>sted</w:t>
      </w:r>
      <w:r>
        <w:t xml:space="preserve"> og </w:t>
      </w:r>
      <w:r>
        <w:rPr>
          <w:i/>
        </w:rPr>
        <w:t>hjem</w:t>
      </w:r>
      <w:r>
        <w:t xml:space="preserve">. </w:t>
      </w:r>
      <w:proofErr w:type="spellStart"/>
      <w:r>
        <w:t>Overlayet</w:t>
      </w:r>
      <w:proofErr w:type="spellEnd"/>
      <w:r>
        <w:t xml:space="preserve"> lægger op til, at eleverne deler, hvad de umiddelbart for</w:t>
      </w:r>
      <w:r>
        <w:t xml:space="preserve">binder med ordene: Samsø, bro og hjem, men også at de søger i e-bogens ordbog og i symbol- eller </w:t>
      </w:r>
      <w:proofErr w:type="spellStart"/>
      <w:r>
        <w:t>slangordbog</w:t>
      </w:r>
      <w:proofErr w:type="spellEnd"/>
      <w:r>
        <w:t xml:space="preserve"> på nettet. Vend tilbage til disse tre ord under fortolkningen til allersidst.</w:t>
      </w:r>
    </w:p>
    <w:p w:rsidR="000F119D" w:rsidRDefault="001774A7">
      <w:pPr>
        <w:widowControl w:val="0"/>
        <w:spacing w:after="200"/>
      </w:pPr>
      <w:r>
        <w:t xml:space="preserve">BRO: Titlen har flere betydninger både på real- og billedplan. Ordet </w:t>
      </w:r>
      <w:r>
        <w:t>kan betyde en bro, som er en vej/konstruktion over en å, vej eller være symbol på en overgang til en ny livsfase. Eller ordet kan være slang for bror/</w:t>
      </w:r>
      <w:proofErr w:type="spellStart"/>
      <w:r>
        <w:t>brother</w:t>
      </w:r>
      <w:proofErr w:type="spellEnd"/>
      <w:r>
        <w:t>. Som slang betyder det ikke nødvendigvis bror, men mere ven, som markerer et maskulint fællesskab.</w:t>
      </w:r>
      <w:r>
        <w:t xml:space="preserve"> </w:t>
      </w:r>
    </w:p>
    <w:p w:rsidR="000F119D" w:rsidRDefault="001774A7">
      <w:pPr>
        <w:widowControl w:val="0"/>
        <w:spacing w:after="200"/>
      </w:pPr>
      <w:r>
        <w:t>SAMSØ: Denne novelle foregår på Samsø, som er en fysisk isoleret sted/</w:t>
      </w:r>
      <w:proofErr w:type="spellStart"/>
      <w:r>
        <w:t>lokation</w:t>
      </w:r>
      <w:proofErr w:type="spellEnd"/>
      <w:r>
        <w:t>. Mange forbinder Samsø med sommerferie, men hvordan er det at bo her uden for højsæsonen, og hvilken betydning har stedet for teksten?</w:t>
      </w:r>
    </w:p>
    <w:p w:rsidR="000F119D" w:rsidRDefault="001774A7">
      <w:pPr>
        <w:widowControl w:val="0"/>
        <w:spacing w:after="200"/>
      </w:pPr>
      <w:r>
        <w:t>HJEM: Eleverne skal forholde sig til ord</w:t>
      </w:r>
      <w:r>
        <w:t xml:space="preserve">et ‘hjem’, men også holde øje med ordet, mens de læser. Hvilket forhold har </w:t>
      </w:r>
      <w:proofErr w:type="spellStart"/>
      <w:r>
        <w:t>jeg’et</w:t>
      </w:r>
      <w:proofErr w:type="spellEnd"/>
      <w:r>
        <w:t xml:space="preserve"> til hjem og skifter det undervejs? </w:t>
      </w:r>
    </w:p>
    <w:p w:rsidR="000F119D" w:rsidRDefault="001774A7">
      <w:pPr>
        <w:pStyle w:val="Overskrift2"/>
        <w:spacing w:before="0" w:after="0" w:line="240" w:lineRule="auto"/>
      </w:pPr>
      <w:bookmarkStart w:id="5" w:name="_8tniy1e8h8eu" w:colFirst="0" w:colLast="0"/>
      <w:bookmarkEnd w:id="5"/>
      <w:r>
        <w:lastRenderedPageBreak/>
        <w:t>Efter læsning</w:t>
      </w:r>
    </w:p>
    <w:p w:rsidR="000F119D" w:rsidRDefault="001774A7">
      <w:pPr>
        <w:spacing w:line="240" w:lineRule="auto"/>
        <w:rPr>
          <w:shd w:val="clear" w:color="auto" w:fill="A4C2F4"/>
        </w:rPr>
      </w:pPr>
      <w:r>
        <w:rPr>
          <w:shd w:val="clear" w:color="auto" w:fill="A4C2F4"/>
        </w:rPr>
        <w:t xml:space="preserve"> ROLLER       </w:t>
      </w:r>
    </w:p>
    <w:p w:rsidR="000F119D" w:rsidRDefault="001774A7">
      <w:pPr>
        <w:spacing w:after="200"/>
      </w:pPr>
      <w:r>
        <w:t>Ligesom i andre litterære tekster spiller karaktererne en række genkendelige roller, som er:</w:t>
      </w:r>
    </w:p>
    <w:p w:rsidR="000F119D" w:rsidRDefault="001774A7">
      <w:pPr>
        <w:numPr>
          <w:ilvl w:val="0"/>
          <w:numId w:val="3"/>
        </w:numPr>
      </w:pPr>
      <w:r>
        <w:t>Troværdig karak</w:t>
      </w:r>
      <w:r>
        <w:t>ter</w:t>
      </w:r>
    </w:p>
    <w:p w:rsidR="000F119D" w:rsidRDefault="001774A7">
      <w:pPr>
        <w:numPr>
          <w:ilvl w:val="0"/>
          <w:numId w:val="3"/>
        </w:numPr>
      </w:pPr>
      <w:r>
        <w:t>Kontrastfigur</w:t>
      </w:r>
    </w:p>
    <w:p w:rsidR="000F119D" w:rsidRDefault="001774A7">
      <w:pPr>
        <w:numPr>
          <w:ilvl w:val="0"/>
          <w:numId w:val="3"/>
        </w:numPr>
      </w:pPr>
      <w:r>
        <w:t>Funktionel karakter</w:t>
      </w:r>
    </w:p>
    <w:p w:rsidR="000F119D" w:rsidRDefault="001774A7">
      <w:pPr>
        <w:numPr>
          <w:ilvl w:val="0"/>
          <w:numId w:val="3"/>
        </w:numPr>
        <w:spacing w:after="200"/>
      </w:pPr>
      <w:r>
        <w:t>Repræsentant for systemet</w:t>
      </w:r>
    </w:p>
    <w:p w:rsidR="000F119D" w:rsidRDefault="001774A7">
      <w:pPr>
        <w:spacing w:after="200"/>
      </w:pPr>
      <w:r>
        <w:t xml:space="preserve">Lad eleverne finde citater fra teksten, som viser karakterernes funktion. Fordel karaktererne mellem 5 grupper, som henholdsvis undersøger Ulf, Preben, Bente, Ulla og hovedpersonens roller og </w:t>
      </w:r>
      <w:r>
        <w:t xml:space="preserve">fremlægger for klassen. </w:t>
      </w:r>
    </w:p>
    <w:p w:rsidR="000F119D" w:rsidRDefault="001774A7">
      <w:pPr>
        <w:spacing w:before="200"/>
      </w:pPr>
      <w:r>
        <w:t>Hovedpersonen og Ulf fremstår som</w:t>
      </w:r>
      <w:r>
        <w:rPr>
          <w:b/>
        </w:rPr>
        <w:t xml:space="preserve"> troværdige karakterer </w:t>
      </w:r>
      <w:r>
        <w:t>med følelser og problemer, vi kan identificere os med. Vi kan forstå og begrunde hans handlinger. Relationen til Ulf gør, at hovedpersonen ikke kan spille skuespil. Deres rela</w:t>
      </w:r>
      <w:r>
        <w:t xml:space="preserve">tion er ægte, og hovedpersonen må smide manuskriptet ud. </w:t>
      </w:r>
    </w:p>
    <w:p w:rsidR="000F119D" w:rsidRDefault="001774A7">
      <w:pPr>
        <w:spacing w:before="200"/>
      </w:pPr>
      <w:r>
        <w:t xml:space="preserve">Plejeforældrene er </w:t>
      </w:r>
      <w:r>
        <w:rPr>
          <w:b/>
        </w:rPr>
        <w:t>kontrastfigurer</w:t>
      </w:r>
      <w:r>
        <w:t>, der repræsenterer hver sine normer. Hvor Ulla er repræsentant for traditionelle familiemønstre og regelrethed, så repræsenterer Preben rummelighed, åbenhed og empati.</w:t>
      </w:r>
    </w:p>
    <w:p w:rsidR="000F119D" w:rsidRDefault="001774A7">
      <w:pPr>
        <w:spacing w:before="200"/>
      </w:pPr>
      <w:r>
        <w:t>Karakteren Bente</w:t>
      </w:r>
      <w:r>
        <w:rPr>
          <w:b/>
        </w:rPr>
        <w:t xml:space="preserve"> repræsenterer systemet</w:t>
      </w:r>
      <w:r>
        <w:t xml:space="preserve">, men hun er også en </w:t>
      </w:r>
      <w:r>
        <w:rPr>
          <w:b/>
        </w:rPr>
        <w:t>funktionel karakter</w:t>
      </w:r>
      <w:r>
        <w:t>, der er</w:t>
      </w:r>
      <w:r>
        <w:t xml:space="preserve"> med til at drive handlingen frem - hun er instruktøren, der afgør hovedpersonens skæbne.</w:t>
      </w:r>
    </w:p>
    <w:p w:rsidR="000F119D" w:rsidRDefault="001774A7">
      <w:pPr>
        <w:spacing w:before="200"/>
        <w:rPr>
          <w:shd w:val="clear" w:color="auto" w:fill="F6B26B"/>
        </w:rPr>
      </w:pPr>
      <w:r>
        <w:rPr>
          <w:shd w:val="clear" w:color="auto" w:fill="F6B26B"/>
        </w:rPr>
        <w:t xml:space="preserve"> RELATIONER </w:t>
      </w:r>
    </w:p>
    <w:p w:rsidR="000F119D" w:rsidRDefault="001774A7">
      <w:r>
        <w:t xml:space="preserve">Hvad er hovedpersonens relationer før under og efter opholdet på Samsø til henholdsvis ny/gammel familie, biologisk far og Ulf? </w:t>
      </w:r>
    </w:p>
    <w:p w:rsidR="000F119D" w:rsidRDefault="001774A7">
      <w:pPr>
        <w:spacing w:before="200"/>
        <w:rPr>
          <w:shd w:val="clear" w:color="auto" w:fill="B6D7A8"/>
        </w:rPr>
      </w:pPr>
      <w:r>
        <w:rPr>
          <w:shd w:val="clear" w:color="auto" w:fill="B6D7A8"/>
        </w:rPr>
        <w:t xml:space="preserve"> LITTERÆRE VIRKEMIDLER</w:t>
      </w:r>
    </w:p>
    <w:p w:rsidR="000F119D" w:rsidRDefault="001774A7">
      <w:pPr>
        <w:spacing w:after="200"/>
        <w:rPr>
          <w:highlight w:val="white"/>
        </w:rPr>
      </w:pPr>
      <w:r>
        <w:rPr>
          <w:highlight w:val="white"/>
        </w:rPr>
        <w:t>D</w:t>
      </w:r>
      <w:r>
        <w:rPr>
          <w:highlight w:val="white"/>
        </w:rPr>
        <w:t xml:space="preserve">e grønne markering forklare en række litterære virkemidler og spørger ind til, hvordan de kommer til udtryk i teksten. I </w:t>
      </w:r>
      <w:proofErr w:type="spellStart"/>
      <w:r>
        <w:rPr>
          <w:highlight w:val="white"/>
        </w:rPr>
        <w:t>overlayet</w:t>
      </w:r>
      <w:proofErr w:type="spellEnd"/>
      <w:r>
        <w:rPr>
          <w:highlight w:val="white"/>
        </w:rPr>
        <w:t xml:space="preserve"> til ‘Bro’ er der fokus på følgende virkemidler:</w:t>
      </w:r>
    </w:p>
    <w:p w:rsidR="000F119D" w:rsidRDefault="001774A7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Billedsprog (</w:t>
      </w:r>
      <w:r>
        <w:rPr>
          <w:sz w:val="21"/>
          <w:szCs w:val="21"/>
          <w:highlight w:val="white"/>
        </w:rPr>
        <w:t>Fælles ordbog med forklaring af real- og billedplan)</w:t>
      </w:r>
    </w:p>
    <w:p w:rsidR="000F119D" w:rsidRDefault="001774A7">
      <w:pPr>
        <w:numPr>
          <w:ilvl w:val="0"/>
          <w:numId w:val="4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Vejr (</w:t>
      </w:r>
      <w:r>
        <w:rPr>
          <w:highlight w:val="white"/>
        </w:rPr>
        <w:t>Vejru</w:t>
      </w:r>
      <w:r>
        <w:rPr>
          <w:highlight w:val="white"/>
        </w:rPr>
        <w:t>dsigt, hvor vejrikoner afspejler hovedpersonens indre)</w:t>
      </w:r>
    </w:p>
    <w:p w:rsidR="000F119D" w:rsidRDefault="001774A7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Tomme pladser (Spiller det en rolle, at jeg-fortælleren har ukendt navn og køn)</w:t>
      </w:r>
    </w:p>
    <w:p w:rsidR="000F119D" w:rsidRDefault="001774A7">
      <w:pPr>
        <w:numPr>
          <w:ilvl w:val="0"/>
          <w:numId w:val="4"/>
        </w:numPr>
        <w:spacing w:after="200"/>
        <w:rPr>
          <w:highlight w:val="white"/>
        </w:rPr>
      </w:pPr>
      <w:r>
        <w:rPr>
          <w:highlight w:val="white"/>
        </w:rPr>
        <w:t>Åben slutning (Hvad varsler vejret?)</w:t>
      </w:r>
    </w:p>
    <w:p w:rsidR="000F119D" w:rsidRDefault="001774A7">
      <w:pPr>
        <w:rPr>
          <w:b/>
        </w:rPr>
      </w:pPr>
      <w:r>
        <w:rPr>
          <w:rFonts w:ascii="Calibri" w:eastAsia="Calibri" w:hAnsi="Calibri" w:cs="Calibri"/>
          <w:b/>
          <w:color w:val="000066"/>
          <w:sz w:val="36"/>
          <w:szCs w:val="36"/>
        </w:rPr>
        <w:t>Supplerende materialer</w:t>
      </w:r>
    </w:p>
    <w:p w:rsidR="000F119D" w:rsidRDefault="001774A7">
      <w:pPr>
        <w:ind w:left="-30"/>
      </w:pPr>
      <w:hyperlink r:id="rId11">
        <w:r>
          <w:rPr>
            <w:color w:val="1155CC"/>
            <w:u w:val="single"/>
          </w:rPr>
          <w:t>Jeg væl</w:t>
        </w:r>
        <w:r>
          <w:rPr>
            <w:color w:val="1155CC"/>
            <w:u w:val="single"/>
          </w:rPr>
          <w:t>ger uden filter</w:t>
        </w:r>
      </w:hyperlink>
      <w:r>
        <w:t xml:space="preserve"> e-bog med bl.a. novellen ‘Spørgsmålet’ af Ronnie Andersen, hvor hovedpersonens køn heller ikke er kendt.</w:t>
      </w:r>
    </w:p>
    <w:p w:rsidR="000F119D" w:rsidRDefault="001774A7">
      <w:pPr>
        <w:ind w:left="-30"/>
      </w:pPr>
      <w:hyperlink r:id="rId12">
        <w:r>
          <w:rPr>
            <w:color w:val="1155CC"/>
            <w:u w:val="single"/>
          </w:rPr>
          <w:t>Når hjertet er en elpisker</w:t>
        </w:r>
      </w:hyperlink>
      <w:r>
        <w:t xml:space="preserve"> af Mette Vedsø - ungdomsroman med vejrikoner</w:t>
      </w:r>
    </w:p>
    <w:p w:rsidR="000F119D" w:rsidRDefault="001774A7">
      <w:pPr>
        <w:ind w:left="-30"/>
      </w:pPr>
      <w:hyperlink r:id="rId13">
        <w:r>
          <w:rPr>
            <w:color w:val="1155CC"/>
            <w:u w:val="single"/>
          </w:rPr>
          <w:t>Jonathan findes ikke</w:t>
        </w:r>
      </w:hyperlink>
      <w:r>
        <w:t xml:space="preserve"> TV-udsendelse om en ung, der springer ud som homoseksuel</w:t>
      </w:r>
    </w:p>
    <w:p w:rsidR="000F119D" w:rsidRDefault="001774A7">
      <w:pPr>
        <w:ind w:left="-30"/>
      </w:pPr>
      <w:hyperlink r:id="rId14">
        <w:r>
          <w:rPr>
            <w:color w:val="1155CC"/>
            <w:u w:val="single"/>
          </w:rPr>
          <w:t>Min pige er en dreng</w:t>
        </w:r>
      </w:hyperlink>
      <w:r>
        <w:t xml:space="preserve"> TV-dokumentarserie</w:t>
      </w:r>
      <w:r>
        <w:rPr>
          <w:color w:val="333333"/>
          <w:sz w:val="21"/>
          <w:szCs w:val="21"/>
          <w:highlight w:val="white"/>
        </w:rPr>
        <w:t xml:space="preserve"> </w:t>
      </w:r>
      <w:r>
        <w:rPr>
          <w:highlight w:val="white"/>
        </w:rPr>
        <w:t>om børn, der identificerer sig med det modsatte køn af, hvad de er født med.</w:t>
      </w:r>
    </w:p>
    <w:sectPr w:rsidR="000F119D">
      <w:headerReference w:type="default" r:id="rId15"/>
      <w:footerReference w:type="default" r:id="rId16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A7" w:rsidRDefault="001774A7">
      <w:pPr>
        <w:spacing w:line="240" w:lineRule="auto"/>
      </w:pPr>
      <w:r>
        <w:separator/>
      </w:r>
    </w:p>
  </w:endnote>
  <w:endnote w:type="continuationSeparator" w:id="0">
    <w:p w:rsidR="001774A7" w:rsidRDefault="00177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9D" w:rsidRDefault="001774A7">
    <w:pPr>
      <w:jc w:val="right"/>
    </w:pPr>
    <w:r>
      <w:pict>
        <v:rect id="_x0000_i1026" style="width:0;height:1.5pt" o:hralign="center" o:hrstd="t" o:hr="t" fillcolor="#a0a0a0" stroked="f"/>
      </w:pict>
    </w:r>
    <w:r>
      <w:fldChar w:fldCharType="begin"/>
    </w:r>
    <w:r>
      <w:instrText>PAGE</w:instrText>
    </w:r>
    <w:r w:rsidR="001D6A03">
      <w:fldChar w:fldCharType="separate"/>
    </w:r>
    <w:r w:rsidR="006826F6">
      <w:rPr>
        <w:noProof/>
      </w:rPr>
      <w:t>1</w:t>
    </w:r>
    <w:r>
      <w:fldChar w:fldCharType="end"/>
    </w:r>
  </w:p>
  <w:p w:rsidR="000F119D" w:rsidRDefault="001774A7">
    <w:pPr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Udarbejdet af Dorte Haraldsted</w:t>
    </w:r>
  </w:p>
  <w:p w:rsidR="000F119D" w:rsidRDefault="001774A7">
    <w:pPr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CFU Københavns </w:t>
    </w:r>
    <w:proofErr w:type="spellStart"/>
    <w:r>
      <w:rPr>
        <w:rFonts w:ascii="Calibri" w:eastAsia="Calibri" w:hAnsi="Calibri" w:cs="Calibri"/>
        <w:sz w:val="16"/>
        <w:szCs w:val="16"/>
      </w:rPr>
      <w:t>Professionhøjskole</w:t>
    </w:r>
    <w:proofErr w:type="spellEnd"/>
    <w:r>
      <w:rPr>
        <w:rFonts w:ascii="Calibri" w:eastAsia="Calibri" w:hAnsi="Calibri" w:cs="Calibri"/>
        <w:sz w:val="16"/>
        <w:szCs w:val="16"/>
      </w:rPr>
      <w:t xml:space="preserve">, </w:t>
    </w:r>
    <w:proofErr w:type="gramStart"/>
    <w:r>
      <w:rPr>
        <w:rFonts w:ascii="Calibri" w:eastAsia="Calibri" w:hAnsi="Calibri" w:cs="Calibri"/>
        <w:sz w:val="16"/>
        <w:szCs w:val="16"/>
      </w:rPr>
      <w:t>Juni</w:t>
    </w:r>
    <w:proofErr w:type="gramEnd"/>
    <w:r>
      <w:rPr>
        <w:rFonts w:ascii="Calibri" w:eastAsia="Calibri" w:hAnsi="Calibri" w:cs="Calibri"/>
        <w:sz w:val="16"/>
        <w:szCs w:val="16"/>
      </w:rPr>
      <w:t xml:space="preserve"> 2019                                                                                          </w:t>
    </w:r>
    <w:r>
      <w:rPr>
        <w:rFonts w:ascii="Calibri" w:eastAsia="Calibri" w:hAnsi="Calibri" w:cs="Calibri"/>
        <w:sz w:val="16"/>
        <w:szCs w:val="16"/>
      </w:rPr>
      <w:tab/>
    </w:r>
  </w:p>
  <w:p w:rsidR="000F119D" w:rsidRDefault="000F119D">
    <w:pPr>
      <w:rPr>
        <w:rFonts w:ascii="Calibri" w:eastAsia="Calibri" w:hAnsi="Calibri" w:cs="Calibri"/>
        <w:i/>
        <w:sz w:val="16"/>
        <w:szCs w:val="16"/>
      </w:rPr>
    </w:pPr>
  </w:p>
  <w:p w:rsidR="000F119D" w:rsidRDefault="000F11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A7" w:rsidRDefault="001774A7">
      <w:pPr>
        <w:spacing w:line="240" w:lineRule="auto"/>
      </w:pPr>
      <w:r>
        <w:separator/>
      </w:r>
    </w:p>
  </w:footnote>
  <w:footnote w:type="continuationSeparator" w:id="0">
    <w:p w:rsidR="001774A7" w:rsidRDefault="00177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9D" w:rsidRDefault="000F119D">
    <w:pPr>
      <w:spacing w:before="200"/>
    </w:pPr>
  </w:p>
  <w:p w:rsidR="000F119D" w:rsidRDefault="001774A7">
    <w:pPr>
      <w:rPr>
        <w:sz w:val="16"/>
        <w:szCs w:val="16"/>
      </w:rPr>
    </w:pPr>
    <w:r>
      <w:rPr>
        <w:noProof/>
        <w:lang w:val="da-DK"/>
      </w:rPr>
      <w:drawing>
        <wp:inline distT="114300" distB="114300" distL="114300" distR="114300">
          <wp:extent cx="2362200" cy="352425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rPr>
        <w:sz w:val="16"/>
        <w:szCs w:val="16"/>
      </w:rPr>
      <w:t xml:space="preserve">Pædagogisk vejledning </w:t>
    </w:r>
  </w:p>
  <w:p w:rsidR="000F119D" w:rsidRDefault="001774A7">
    <w:pPr>
      <w:rPr>
        <w:rFonts w:ascii="Calibri" w:eastAsia="Calibri" w:hAnsi="Calibri" w:cs="Calibri"/>
        <w:color w:val="1155CC"/>
        <w:sz w:val="16"/>
        <w:szCs w:val="16"/>
        <w:u w:val="single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94657B" w:rsidRPr="000A2706">
        <w:rPr>
          <w:rStyle w:val="Hyperlink"/>
          <w:rFonts w:ascii="Calibri" w:eastAsia="Calibri" w:hAnsi="Calibri" w:cs="Calibri"/>
          <w:sz w:val="16"/>
          <w:szCs w:val="16"/>
        </w:rPr>
        <w:t>http://mitcfu.dk/CFUEBOG11008227</w:t>
      </w:r>
    </w:hyperlink>
  </w:p>
  <w:p w:rsidR="0094657B" w:rsidRDefault="0094657B">
    <w:pPr>
      <w:rPr>
        <w:sz w:val="16"/>
        <w:szCs w:val="16"/>
      </w:rPr>
    </w:pPr>
  </w:p>
  <w:p w:rsidR="000F119D" w:rsidRDefault="001774A7">
    <w:pPr>
      <w:jc w:val="center"/>
    </w:pPr>
    <w:r>
      <w:pict>
        <v:rect id="_x0000_i104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186"/>
    <w:multiLevelType w:val="multilevel"/>
    <w:tmpl w:val="FEF25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6448B"/>
    <w:multiLevelType w:val="multilevel"/>
    <w:tmpl w:val="9ECEB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0E0B00"/>
    <w:multiLevelType w:val="multilevel"/>
    <w:tmpl w:val="7B864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BA4492"/>
    <w:multiLevelType w:val="multilevel"/>
    <w:tmpl w:val="CB4E0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9D"/>
    <w:rsid w:val="000F119D"/>
    <w:rsid w:val="001774A7"/>
    <w:rsid w:val="001D6A03"/>
    <w:rsid w:val="006826F6"/>
    <w:rsid w:val="0094657B"/>
    <w:rsid w:val="00A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695BD"/>
  <w15:docId w15:val="{E23E0618-C91F-46D0-AA60-604C6819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4657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657B"/>
  </w:style>
  <w:style w:type="paragraph" w:styleId="Sidefod">
    <w:name w:val="footer"/>
    <w:basedOn w:val="Normal"/>
    <w:link w:val="SidefodTegn"/>
    <w:uiPriority w:val="99"/>
    <w:unhideWhenUsed/>
    <w:rsid w:val="0094657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657B"/>
  </w:style>
  <w:style w:type="character" w:styleId="Hyperlink">
    <w:name w:val="Hyperlink"/>
    <w:basedOn w:val="Standardskrifttypeiafsnit"/>
    <w:uiPriority w:val="99"/>
    <w:unhideWhenUsed/>
    <w:rsid w:val="00946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kp.mitcfu.dk/TV00001130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p.mitcfu.dk/CFUEBOG111389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p.mitcfu.dk/CFUEBOG106955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mitcfu.dk/TV000012034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/CFUEBOG11008227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870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VIA.DK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Abrahamsen (KAAB) | VIA</dc:creator>
  <cp:lastModifiedBy>Karin Abrahamsen (KAAB) | VIA</cp:lastModifiedBy>
  <cp:revision>4</cp:revision>
  <dcterms:created xsi:type="dcterms:W3CDTF">2020-08-25T14:15:00Z</dcterms:created>
  <dcterms:modified xsi:type="dcterms:W3CDTF">2020-08-25T14:30:00Z</dcterms:modified>
</cp:coreProperties>
</file>