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2549" w:rsidRDefault="00892549">
      <w:bookmarkStart w:id="0" w:name="_GoBack"/>
      <w:bookmarkEnd w:id="0"/>
    </w:p>
    <w:tbl>
      <w:tblPr>
        <w:tblStyle w:val="a"/>
        <w:tblW w:w="96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60"/>
        <w:gridCol w:w="5805"/>
        <w:gridCol w:w="2280"/>
      </w:tblGrid>
      <w:tr w:rsidR="00892549">
        <w:trPr>
          <w:trHeight w:val="200"/>
        </w:trPr>
        <w:tc>
          <w:tcPr>
            <w:tcW w:w="1560" w:type="dxa"/>
          </w:tcPr>
          <w:p w:rsidR="00892549" w:rsidRDefault="00554B5D">
            <w:pPr>
              <w:pStyle w:val="Overskrift1"/>
              <w:spacing w:before="0" w:after="120"/>
              <w:outlineLvl w:val="0"/>
            </w:pPr>
            <w:r>
              <w:rPr>
                <w:rFonts w:ascii="Calibri" w:eastAsia="Calibri" w:hAnsi="Calibri" w:cs="Calibri"/>
                <w:color w:val="1D266B"/>
                <w:sz w:val="32"/>
                <w:szCs w:val="32"/>
              </w:rPr>
              <w:t xml:space="preserve">Titel: </w:t>
            </w:r>
          </w:p>
        </w:tc>
        <w:tc>
          <w:tcPr>
            <w:tcW w:w="5805" w:type="dxa"/>
          </w:tcPr>
          <w:p w:rsidR="00892549" w:rsidRDefault="00554B5D">
            <w:pPr>
              <w:pBdr>
                <w:top w:val="nil"/>
                <w:left w:val="nil"/>
                <w:bottom w:val="nil"/>
                <w:right w:val="nil"/>
                <w:between w:val="nil"/>
              </w:pBdr>
              <w:rPr>
                <w:b/>
                <w:color w:val="1D266B"/>
                <w:sz w:val="32"/>
                <w:szCs w:val="32"/>
              </w:rPr>
            </w:pPr>
            <w:r>
              <w:rPr>
                <w:b/>
                <w:color w:val="1D266B"/>
                <w:sz w:val="32"/>
                <w:szCs w:val="32"/>
              </w:rPr>
              <w:t>Thea og chatten</w:t>
            </w:r>
          </w:p>
        </w:tc>
        <w:tc>
          <w:tcPr>
            <w:tcW w:w="2280" w:type="dxa"/>
            <w:vMerge w:val="restart"/>
          </w:tcPr>
          <w:p w:rsidR="00892549" w:rsidRDefault="00892549">
            <w:pPr>
              <w:pBdr>
                <w:top w:val="nil"/>
                <w:left w:val="nil"/>
                <w:bottom w:val="nil"/>
                <w:right w:val="nil"/>
                <w:between w:val="nil"/>
              </w:pBdr>
              <w:rPr>
                <w:color w:val="000000"/>
              </w:rPr>
            </w:pPr>
          </w:p>
          <w:p w:rsidR="00892549" w:rsidRDefault="00554B5D">
            <w:pPr>
              <w:rPr>
                <w:color w:val="000000"/>
              </w:rPr>
            </w:pPr>
            <w:r>
              <w:rPr>
                <w:noProof/>
              </w:rPr>
              <w:drawing>
                <wp:inline distT="114300" distB="114300" distL="114300" distR="114300">
                  <wp:extent cx="1295400" cy="876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95400" cy="876300"/>
                          </a:xfrm>
                          <a:prstGeom prst="rect">
                            <a:avLst/>
                          </a:prstGeom>
                          <a:ln/>
                        </pic:spPr>
                      </pic:pic>
                    </a:graphicData>
                  </a:graphic>
                </wp:inline>
              </w:drawing>
            </w:r>
          </w:p>
          <w:p w:rsidR="00892549" w:rsidRDefault="00892549">
            <w:pPr>
              <w:pBdr>
                <w:top w:val="nil"/>
                <w:left w:val="nil"/>
                <w:bottom w:val="nil"/>
                <w:right w:val="nil"/>
                <w:between w:val="nil"/>
              </w:pBdr>
              <w:rPr>
                <w:color w:val="000000"/>
              </w:rPr>
            </w:pPr>
          </w:p>
          <w:p w:rsidR="00892549" w:rsidRDefault="00892549">
            <w:pPr>
              <w:pBdr>
                <w:top w:val="nil"/>
                <w:left w:val="nil"/>
                <w:bottom w:val="nil"/>
                <w:right w:val="nil"/>
                <w:between w:val="nil"/>
              </w:pBdr>
              <w:rPr>
                <w:color w:val="000000"/>
              </w:rPr>
            </w:pPr>
          </w:p>
          <w:p w:rsidR="00892549" w:rsidRDefault="00892549">
            <w:pPr>
              <w:pBdr>
                <w:top w:val="nil"/>
                <w:left w:val="nil"/>
                <w:bottom w:val="nil"/>
                <w:right w:val="nil"/>
                <w:between w:val="nil"/>
              </w:pBdr>
              <w:rPr>
                <w:color w:val="000000"/>
              </w:rPr>
            </w:pPr>
          </w:p>
          <w:p w:rsidR="00892549" w:rsidRDefault="00892549">
            <w:pPr>
              <w:pBdr>
                <w:top w:val="nil"/>
                <w:left w:val="nil"/>
                <w:bottom w:val="nil"/>
                <w:right w:val="nil"/>
                <w:between w:val="nil"/>
              </w:pBdr>
              <w:rPr>
                <w:color w:val="000000"/>
              </w:rPr>
            </w:pPr>
          </w:p>
        </w:tc>
      </w:tr>
      <w:tr w:rsidR="00892549">
        <w:trPr>
          <w:trHeight w:val="200"/>
        </w:trPr>
        <w:tc>
          <w:tcPr>
            <w:tcW w:w="1560" w:type="dxa"/>
          </w:tcPr>
          <w:p w:rsidR="00892549" w:rsidRDefault="00554B5D">
            <w:pPr>
              <w:pBdr>
                <w:top w:val="nil"/>
                <w:left w:val="nil"/>
                <w:bottom w:val="nil"/>
                <w:right w:val="nil"/>
                <w:between w:val="nil"/>
              </w:pBdr>
              <w:rPr>
                <w:color w:val="000000"/>
              </w:rPr>
            </w:pPr>
            <w:r>
              <w:rPr>
                <w:color w:val="000000"/>
              </w:rPr>
              <w:t>Temaer:</w:t>
            </w:r>
          </w:p>
        </w:tc>
        <w:tc>
          <w:tcPr>
            <w:tcW w:w="5805" w:type="dxa"/>
          </w:tcPr>
          <w:p w:rsidR="00892549" w:rsidRDefault="00554B5D">
            <w:pPr>
              <w:pBdr>
                <w:top w:val="nil"/>
                <w:left w:val="nil"/>
                <w:bottom w:val="nil"/>
                <w:right w:val="nil"/>
                <w:between w:val="nil"/>
              </w:pBdr>
              <w:rPr>
                <w:color w:val="000000"/>
              </w:rPr>
            </w:pPr>
            <w:r>
              <w:rPr>
                <w:color w:val="333333"/>
                <w:highlight w:val="white"/>
              </w:rPr>
              <w:t>Tweens adfærd på sociale medier, anonyme venskaber og hade-beskeder på sociale medier, sociale relationer i en skoleklasse, forelskelse, mobning og forholdet til forældrene.</w:t>
            </w:r>
          </w:p>
        </w:tc>
        <w:tc>
          <w:tcPr>
            <w:tcW w:w="2280" w:type="dxa"/>
            <w:vMerge/>
          </w:tcPr>
          <w:p w:rsidR="00892549" w:rsidRDefault="00892549">
            <w:pPr>
              <w:pBdr>
                <w:top w:val="nil"/>
                <w:left w:val="nil"/>
                <w:bottom w:val="nil"/>
                <w:right w:val="nil"/>
                <w:between w:val="nil"/>
              </w:pBdr>
              <w:rPr>
                <w:color w:val="000000"/>
              </w:rPr>
            </w:pPr>
          </w:p>
        </w:tc>
      </w:tr>
      <w:tr w:rsidR="00892549">
        <w:trPr>
          <w:trHeight w:val="200"/>
        </w:trPr>
        <w:tc>
          <w:tcPr>
            <w:tcW w:w="1560" w:type="dxa"/>
          </w:tcPr>
          <w:p w:rsidR="00892549" w:rsidRDefault="00554B5D">
            <w:pPr>
              <w:pBdr>
                <w:top w:val="nil"/>
                <w:left w:val="nil"/>
                <w:bottom w:val="nil"/>
                <w:right w:val="nil"/>
                <w:between w:val="nil"/>
              </w:pBdr>
              <w:rPr>
                <w:color w:val="000000"/>
              </w:rPr>
            </w:pPr>
            <w:r>
              <w:rPr>
                <w:color w:val="000000"/>
              </w:rPr>
              <w:t xml:space="preserve">Fag:  </w:t>
            </w:r>
          </w:p>
        </w:tc>
        <w:tc>
          <w:tcPr>
            <w:tcW w:w="5805" w:type="dxa"/>
          </w:tcPr>
          <w:p w:rsidR="00892549" w:rsidRDefault="00554B5D">
            <w:pPr>
              <w:pBdr>
                <w:top w:val="nil"/>
                <w:left w:val="nil"/>
                <w:bottom w:val="nil"/>
                <w:right w:val="nil"/>
                <w:between w:val="nil"/>
              </w:pBdr>
              <w:rPr>
                <w:color w:val="000000"/>
              </w:rPr>
            </w:pPr>
            <w:r>
              <w:t>dansk</w:t>
            </w:r>
          </w:p>
        </w:tc>
        <w:tc>
          <w:tcPr>
            <w:tcW w:w="2280" w:type="dxa"/>
            <w:vMerge/>
          </w:tcPr>
          <w:p w:rsidR="00892549" w:rsidRDefault="00892549">
            <w:pPr>
              <w:pBdr>
                <w:top w:val="nil"/>
                <w:left w:val="nil"/>
                <w:bottom w:val="nil"/>
                <w:right w:val="nil"/>
                <w:between w:val="nil"/>
              </w:pBdr>
              <w:rPr>
                <w:color w:val="000000"/>
              </w:rPr>
            </w:pPr>
          </w:p>
        </w:tc>
      </w:tr>
      <w:tr w:rsidR="00892549">
        <w:trPr>
          <w:trHeight w:val="300"/>
        </w:trPr>
        <w:tc>
          <w:tcPr>
            <w:tcW w:w="1560" w:type="dxa"/>
          </w:tcPr>
          <w:p w:rsidR="00892549" w:rsidRDefault="00554B5D">
            <w:pPr>
              <w:pBdr>
                <w:top w:val="nil"/>
                <w:left w:val="nil"/>
                <w:bottom w:val="nil"/>
                <w:right w:val="nil"/>
                <w:between w:val="nil"/>
              </w:pBdr>
              <w:rPr>
                <w:color w:val="000000"/>
              </w:rPr>
            </w:pPr>
            <w:r>
              <w:rPr>
                <w:color w:val="000000"/>
              </w:rPr>
              <w:t>Målgruppe:</w:t>
            </w:r>
          </w:p>
        </w:tc>
        <w:tc>
          <w:tcPr>
            <w:tcW w:w="5805" w:type="dxa"/>
          </w:tcPr>
          <w:p w:rsidR="00892549" w:rsidRDefault="00554B5D">
            <w:pPr>
              <w:pBdr>
                <w:top w:val="nil"/>
                <w:left w:val="nil"/>
                <w:bottom w:val="nil"/>
                <w:right w:val="nil"/>
                <w:between w:val="nil"/>
              </w:pBdr>
            </w:pPr>
            <w:r>
              <w:t>4.-6. kl</w:t>
            </w:r>
          </w:p>
        </w:tc>
        <w:tc>
          <w:tcPr>
            <w:tcW w:w="2280" w:type="dxa"/>
            <w:vMerge/>
          </w:tcPr>
          <w:p w:rsidR="00892549" w:rsidRDefault="00892549">
            <w:pPr>
              <w:pBdr>
                <w:top w:val="nil"/>
                <w:left w:val="nil"/>
                <w:bottom w:val="nil"/>
                <w:right w:val="nil"/>
                <w:between w:val="nil"/>
              </w:pBdr>
              <w:rPr>
                <w:color w:val="000000"/>
              </w:rPr>
            </w:pPr>
          </w:p>
        </w:tc>
      </w:tr>
      <w:tr w:rsidR="00892549">
        <w:trPr>
          <w:trHeight w:val="285"/>
        </w:trPr>
        <w:tc>
          <w:tcPr>
            <w:tcW w:w="1560" w:type="dxa"/>
          </w:tcPr>
          <w:p w:rsidR="00892549" w:rsidRDefault="00892549">
            <w:pPr>
              <w:pBdr>
                <w:top w:val="nil"/>
                <w:left w:val="nil"/>
                <w:bottom w:val="nil"/>
                <w:right w:val="nil"/>
                <w:between w:val="nil"/>
              </w:pBdr>
              <w:rPr>
                <w:color w:val="000000"/>
              </w:rPr>
            </w:pPr>
          </w:p>
        </w:tc>
        <w:tc>
          <w:tcPr>
            <w:tcW w:w="5805" w:type="dxa"/>
          </w:tcPr>
          <w:p w:rsidR="00892549" w:rsidRDefault="00892549">
            <w:pPr>
              <w:pBdr>
                <w:top w:val="nil"/>
                <w:left w:val="nil"/>
                <w:bottom w:val="nil"/>
                <w:right w:val="nil"/>
                <w:between w:val="nil"/>
              </w:pBdr>
              <w:rPr>
                <w:color w:val="000000"/>
              </w:rPr>
            </w:pPr>
          </w:p>
        </w:tc>
        <w:tc>
          <w:tcPr>
            <w:tcW w:w="2280" w:type="dxa"/>
            <w:vMerge/>
          </w:tcPr>
          <w:p w:rsidR="00892549" w:rsidRDefault="00892549">
            <w:pPr>
              <w:pBdr>
                <w:top w:val="nil"/>
                <w:left w:val="nil"/>
                <w:bottom w:val="nil"/>
                <w:right w:val="nil"/>
                <w:between w:val="nil"/>
              </w:pBdr>
              <w:rPr>
                <w:color w:val="000000"/>
              </w:rPr>
            </w:pPr>
          </w:p>
        </w:tc>
      </w:tr>
      <w:tr w:rsidR="00892549">
        <w:trPr>
          <w:trHeight w:val="10040"/>
        </w:trPr>
        <w:tc>
          <w:tcPr>
            <w:tcW w:w="1560" w:type="dxa"/>
          </w:tcPr>
          <w:p w:rsidR="00892549" w:rsidRDefault="00892549">
            <w:pPr>
              <w:pBdr>
                <w:top w:val="nil"/>
                <w:left w:val="nil"/>
                <w:bottom w:val="nil"/>
                <w:right w:val="nil"/>
                <w:between w:val="nil"/>
              </w:pBdr>
              <w:rPr>
                <w:color w:val="000000"/>
                <w:sz w:val="16"/>
                <w:szCs w:val="16"/>
              </w:rPr>
            </w:pPr>
            <w:bookmarkStart w:id="1" w:name="_gjdgxs" w:colFirst="0" w:colLast="0"/>
            <w:bookmarkEnd w:id="1"/>
          </w:p>
        </w:tc>
        <w:tc>
          <w:tcPr>
            <w:tcW w:w="8085" w:type="dxa"/>
            <w:gridSpan w:val="2"/>
          </w:tcPr>
          <w:p w:rsidR="00892549" w:rsidRDefault="00554B5D">
            <w:r>
              <w:rPr>
                <w:b/>
              </w:rPr>
              <w:t>E-bog:</w:t>
            </w:r>
            <w:r>
              <w:t xml:space="preserve"> </w:t>
            </w:r>
            <w:r>
              <w:rPr>
                <w:b/>
                <w:i/>
              </w:rPr>
              <w:t>Thea og chatten</w:t>
            </w:r>
            <w:r>
              <w:t xml:space="preserve">, Trine Bundsgaard (2011) </w:t>
            </w:r>
            <w:r>
              <w:rPr>
                <w:rFonts w:ascii="Roboto" w:eastAsia="Roboto" w:hAnsi="Roboto" w:cs="Roboto"/>
                <w:color w:val="333333"/>
                <w:sz w:val="21"/>
                <w:szCs w:val="21"/>
                <w:highlight w:val="white"/>
              </w:rPr>
              <w:t>Lindhardt og Ringhof</w:t>
            </w:r>
            <w:r>
              <w:t xml:space="preserve"> </w:t>
            </w:r>
            <w:hyperlink r:id="rId7">
              <w:r>
                <w:rPr>
                  <w:color w:val="1155CC"/>
                  <w:u w:val="single"/>
                </w:rPr>
                <w:t>http://.mitcfu.dk/CFUEBOG1108269</w:t>
              </w:r>
            </w:hyperlink>
            <w:r>
              <w:t xml:space="preserve"> </w:t>
            </w:r>
          </w:p>
          <w:p w:rsidR="00892549" w:rsidRDefault="00892549"/>
          <w:p w:rsidR="00892549" w:rsidRDefault="00554B5D">
            <w:pPr>
              <w:rPr>
                <w:b/>
                <w:color w:val="1D266B"/>
                <w:sz w:val="32"/>
                <w:szCs w:val="32"/>
              </w:rPr>
            </w:pPr>
            <w:r>
              <w:rPr>
                <w:b/>
                <w:color w:val="1D266B"/>
                <w:sz w:val="32"/>
                <w:szCs w:val="32"/>
              </w:rPr>
              <w:t>Faglig relevans/kompetenceområder</w:t>
            </w:r>
          </w:p>
          <w:p w:rsidR="00892549" w:rsidRDefault="00892549">
            <w:pPr>
              <w:rPr>
                <w:b/>
                <w:color w:val="1D266B"/>
              </w:rPr>
            </w:pPr>
          </w:p>
          <w:p w:rsidR="00892549" w:rsidRDefault="00554B5D">
            <w:pPr>
              <w:rPr>
                <w:color w:val="333333"/>
                <w:highlight w:val="white"/>
              </w:rPr>
            </w:pPr>
            <w:r>
              <w:rPr>
                <w:color w:val="333333"/>
                <w:highlight w:val="white"/>
              </w:rPr>
              <w:t>E-bogen er kort, letlæst og spændende for både piger og drenge, selvom den umiddelbart kan virke som en 'pigebog'. Den lægger op til, at eleverne kan forholde sig til, hvad der er hensigtsmæssig adfærd på sociale medier. Den drejer sig om anonyme venskaber</w:t>
            </w:r>
            <w:r>
              <w:rPr>
                <w:color w:val="333333"/>
                <w:highlight w:val="white"/>
              </w:rPr>
              <w:t xml:space="preserve"> og hade-beskeder på sociale medier, venskaber og sociale klasse-dynamikker, forelskelse, mobning og forældres reaktioner.</w:t>
            </w:r>
          </w:p>
          <w:p w:rsidR="00892549" w:rsidRDefault="00892549">
            <w:pPr>
              <w:rPr>
                <w:color w:val="333333"/>
                <w:highlight w:val="white"/>
              </w:rPr>
            </w:pPr>
          </w:p>
          <w:p w:rsidR="00892549" w:rsidRDefault="00554B5D">
            <w:pPr>
              <w:rPr>
                <w:color w:val="1D266B"/>
              </w:rPr>
            </w:pPr>
            <w:r>
              <w:rPr>
                <w:color w:val="333333"/>
                <w:highlight w:val="white"/>
              </w:rPr>
              <w:t>Den handler om pigen Thea på ca. 11-12 år, som har en anonym online ven, som hedder Sadboy, der hjælper hende, når livet er svært og</w:t>
            </w:r>
            <w:r>
              <w:rPr>
                <w:color w:val="333333"/>
                <w:highlight w:val="white"/>
              </w:rPr>
              <w:t xml:space="preserve"> som hun er lidt forelsket i. Hun modtager også anonyme hadebeskeder fra en, som kalder sig Mussi. Bogen handler om, hvordan Thea langsomt finder ud af, hvem der gemmer sig bag profilerne Mussi og Sadboy. Undervejs rulles de sociale dynamikker i hendes kla</w:t>
            </w:r>
            <w:r>
              <w:rPr>
                <w:color w:val="333333"/>
                <w:highlight w:val="white"/>
              </w:rPr>
              <w:t>sse ud på en nuanceret måde, og vi får indblik i betydningen af forældrenes reaktion på børns online venskaber. Bogen er nutidig i sine problematikker, og den lægger op til, at eleverne kan forholde sig til dem.</w:t>
            </w:r>
          </w:p>
          <w:p w:rsidR="00892549" w:rsidRDefault="00892549"/>
          <w:p w:rsidR="00892549" w:rsidRDefault="00554B5D">
            <w:r>
              <w:t>Det er primært kompetencemål inden for Fort</w:t>
            </w:r>
            <w:r>
              <w:t>olkning og kommunikation i Fælles Mål for dansk, der er i spil i overlay og vejledning.</w:t>
            </w:r>
          </w:p>
          <w:p w:rsidR="00892549" w:rsidRDefault="00554B5D">
            <w:pPr>
              <w:spacing w:before="240"/>
              <w:rPr>
                <w:b/>
                <w:color w:val="1D266B"/>
                <w:sz w:val="32"/>
                <w:szCs w:val="32"/>
              </w:rPr>
            </w:pPr>
            <w:r>
              <w:rPr>
                <w:b/>
                <w:color w:val="1D266B"/>
                <w:sz w:val="32"/>
                <w:szCs w:val="32"/>
              </w:rPr>
              <w:t>Overlay</w:t>
            </w:r>
          </w:p>
          <w:p w:rsidR="00892549" w:rsidRDefault="00554B5D">
            <w:pPr>
              <w:rPr>
                <w:color w:val="333333"/>
                <w:highlight w:val="white"/>
              </w:rPr>
            </w:pPr>
            <w:r>
              <w:rPr>
                <w:color w:val="333333"/>
                <w:highlight w:val="white"/>
              </w:rPr>
              <w:t>Spørgsmålene i det tilhørende overlay er udarbejdet, så eleverne kan arbejde selvstændigt med dem.</w:t>
            </w:r>
          </w:p>
          <w:p w:rsidR="00892549" w:rsidRDefault="00892549">
            <w:pPr>
              <w:rPr>
                <w:color w:val="333333"/>
                <w:highlight w:val="white"/>
              </w:rPr>
            </w:pPr>
          </w:p>
          <w:p w:rsidR="00892549" w:rsidRDefault="00554B5D">
            <w:pPr>
              <w:rPr>
                <w:color w:val="333333"/>
                <w:highlight w:val="white"/>
              </w:rPr>
            </w:pPr>
            <w:r>
              <w:rPr>
                <w:color w:val="333333"/>
                <w:highlight w:val="white"/>
              </w:rPr>
              <w:t xml:space="preserve">Der er spørgsmål til det underforståede i teksten - det som </w:t>
            </w:r>
            <w:r>
              <w:rPr>
                <w:color w:val="333333"/>
                <w:highlight w:val="white"/>
              </w:rPr>
              <w:t>antydes mellem linjerne - og der er refleksionsspørgsmål til de problemstillinger (om fx sociale dynamikker i en klasse, anonyme venner og hade-beskeder på sociale medier) som tages op undervejs.</w:t>
            </w:r>
          </w:p>
          <w:p w:rsidR="00892549" w:rsidRDefault="00892549">
            <w:pPr>
              <w:rPr>
                <w:color w:val="333333"/>
                <w:highlight w:val="white"/>
              </w:rPr>
            </w:pPr>
          </w:p>
          <w:p w:rsidR="00892549" w:rsidRDefault="00892549"/>
          <w:p w:rsidR="00892549" w:rsidRDefault="00554B5D">
            <w:pPr>
              <w:rPr>
                <w:b/>
                <w:color w:val="1D266B"/>
                <w:sz w:val="32"/>
                <w:szCs w:val="32"/>
              </w:rPr>
            </w:pPr>
            <w:r>
              <w:rPr>
                <w:b/>
                <w:color w:val="1D266B"/>
                <w:sz w:val="32"/>
                <w:szCs w:val="32"/>
              </w:rPr>
              <w:t>Ideer til undervisningen</w:t>
            </w:r>
          </w:p>
          <w:p w:rsidR="00892549" w:rsidRDefault="00892549"/>
          <w:p w:rsidR="00892549" w:rsidRDefault="00554B5D">
            <w:r>
              <w:t>FØR</w:t>
            </w:r>
          </w:p>
          <w:p w:rsidR="00892549" w:rsidRDefault="00892549"/>
          <w:p w:rsidR="00892549" w:rsidRDefault="00554B5D">
            <w:r>
              <w:lastRenderedPageBreak/>
              <w:t>Inden eleverne går i gang m</w:t>
            </w:r>
            <w:r>
              <w:t>ed at læse e-bogen, er det vigtigt at aktivere deres forforståelse. På titelsiden (s.2) i e-bogen spørges der ind til elevernes forforståelse. Hvad kender de til forfatteren i forvejen? Hvad tror de bogen kommer til at handle om ud fra forside-illustration</w:t>
            </w:r>
            <w:r>
              <w:t>en og titlen?</w:t>
            </w:r>
          </w:p>
          <w:p w:rsidR="00892549" w:rsidRDefault="00892549"/>
          <w:p w:rsidR="00892549" w:rsidRDefault="00554B5D">
            <w:r>
              <w:t>UNDER</w:t>
            </w:r>
          </w:p>
          <w:p w:rsidR="00892549" w:rsidRDefault="00554B5D">
            <w:pPr>
              <w:rPr>
                <w:color w:val="333333"/>
                <w:highlight w:val="white"/>
              </w:rPr>
            </w:pPr>
            <w:r>
              <w:rPr>
                <w:color w:val="333333"/>
                <w:highlight w:val="white"/>
              </w:rPr>
              <w:t>Eleverne kan svare på spørgsmålene i overlayet undervejs i deres læsning. Det er en slags 'stop-op-og tænk-spørgsmål'. Man kan lade eleverne skrive deres svar ned i et dokument eller hæfte ved siden af.</w:t>
            </w:r>
          </w:p>
          <w:p w:rsidR="00892549" w:rsidRDefault="00892549">
            <w:pPr>
              <w:rPr>
                <w:color w:val="333333"/>
                <w:highlight w:val="white"/>
              </w:rPr>
            </w:pPr>
          </w:p>
          <w:p w:rsidR="00892549" w:rsidRDefault="00554B5D">
            <w:pPr>
              <w:rPr>
                <w:color w:val="333333"/>
                <w:highlight w:val="white"/>
              </w:rPr>
            </w:pPr>
            <w:r>
              <w:rPr>
                <w:color w:val="333333"/>
                <w:highlight w:val="white"/>
              </w:rPr>
              <w:t>EFTER</w:t>
            </w:r>
          </w:p>
          <w:p w:rsidR="00892549" w:rsidRDefault="00554B5D">
            <w:pPr>
              <w:rPr>
                <w:color w:val="333333"/>
                <w:highlight w:val="white"/>
              </w:rPr>
            </w:pPr>
            <w:r>
              <w:rPr>
                <w:color w:val="333333"/>
                <w:highlight w:val="white"/>
              </w:rPr>
              <w:t>Saml op på  klassen ved a</w:t>
            </w:r>
            <w:r>
              <w:rPr>
                <w:color w:val="333333"/>
                <w:highlight w:val="white"/>
              </w:rPr>
              <w:t>t tale sammen om spørgsmålene. Fordel evt. spørgsmålene mellem eleverne, så de skiftes til at fremlægge deres svare, hvor de andre elever så kan supplere.</w:t>
            </w:r>
          </w:p>
          <w:p w:rsidR="00892549" w:rsidRDefault="00554B5D">
            <w:pPr>
              <w:rPr>
                <w:color w:val="333333"/>
                <w:highlight w:val="white"/>
              </w:rPr>
            </w:pPr>
            <w:r>
              <w:rPr>
                <w:color w:val="333333"/>
                <w:highlight w:val="white"/>
              </w:rPr>
              <w:t>Tal sammen om, hvordan børn og unge kan undgå anonyme hadebeskeder, og hvad man i en klasse kan gøre for at undgå, at nogen gør som Pernille(der var Mussi).</w:t>
            </w:r>
          </w:p>
          <w:p w:rsidR="00892549" w:rsidRDefault="00892549">
            <w:pPr>
              <w:rPr>
                <w:color w:val="333333"/>
                <w:highlight w:val="white"/>
              </w:rPr>
            </w:pPr>
          </w:p>
          <w:p w:rsidR="00892549" w:rsidRDefault="00554B5D">
            <w:pPr>
              <w:rPr>
                <w:color w:val="333333"/>
                <w:highlight w:val="white"/>
              </w:rPr>
            </w:pPr>
            <w:r>
              <w:rPr>
                <w:color w:val="333333"/>
                <w:highlight w:val="white"/>
              </w:rPr>
              <w:t xml:space="preserve">Man kan lade eleverne se klippet i denne UltraNyt udsendelse </w:t>
            </w:r>
            <w:hyperlink r:id="rId8">
              <w:r>
                <w:rPr>
                  <w:color w:val="1155CC"/>
                  <w:highlight w:val="white"/>
                  <w:u w:val="single"/>
                </w:rPr>
                <w:t>http://mitcfu.dk/TV0000113545</w:t>
              </w:r>
            </w:hyperlink>
            <w:r>
              <w:rPr>
                <w:color w:val="333333"/>
                <w:highlight w:val="white"/>
              </w:rPr>
              <w:t xml:space="preserve"> , som handler om, at børn ikke tale med deres forældre, hvis fremmede skriver til dem på sociale medier. </w:t>
            </w:r>
          </w:p>
          <w:p w:rsidR="00892549" w:rsidRDefault="00892549">
            <w:pPr>
              <w:rPr>
                <w:color w:val="333333"/>
                <w:highlight w:val="white"/>
              </w:rPr>
            </w:pPr>
          </w:p>
          <w:p w:rsidR="00892549" w:rsidRDefault="00554B5D">
            <w:pPr>
              <w:rPr>
                <w:color w:val="333333"/>
                <w:highlight w:val="white"/>
              </w:rPr>
            </w:pPr>
            <w:r>
              <w:rPr>
                <w:color w:val="333333"/>
                <w:highlight w:val="white"/>
              </w:rPr>
              <w:t>LÆSELYST: Hvis eleverne synes godt om denne bog, kunne de måske have lyst til også at læse e-bøgerne Selfie</w:t>
            </w:r>
            <w:r>
              <w:rPr>
                <w:color w:val="333333"/>
                <w:highlight w:val="white"/>
              </w:rPr>
              <w:t xml:space="preserve"> Simon eller De hemmelige youtubere, som også på andre måder tager fat på sociale mediers betydning for børn og unges venskaber i dag.</w:t>
            </w:r>
          </w:p>
          <w:p w:rsidR="00892549" w:rsidRDefault="00554B5D">
            <w:pPr>
              <w:pStyle w:val="Overskrift1"/>
              <w:spacing w:before="240"/>
              <w:outlineLvl w:val="0"/>
              <w:rPr>
                <w:rFonts w:ascii="Calibri" w:eastAsia="Calibri" w:hAnsi="Calibri" w:cs="Calibri"/>
                <w:color w:val="000066"/>
                <w:sz w:val="32"/>
                <w:szCs w:val="32"/>
              </w:rPr>
            </w:pPr>
            <w:r>
              <w:rPr>
                <w:rFonts w:ascii="Calibri" w:eastAsia="Calibri" w:hAnsi="Calibri" w:cs="Calibri"/>
                <w:color w:val="000066"/>
                <w:sz w:val="32"/>
                <w:szCs w:val="32"/>
              </w:rPr>
              <w:t>Supplerende materialer</w:t>
            </w:r>
          </w:p>
          <w:p w:rsidR="00892549" w:rsidRDefault="00892549">
            <w:pPr>
              <w:shd w:val="clear" w:color="auto" w:fill="FFFFFF"/>
              <w:spacing w:line="276" w:lineRule="auto"/>
              <w:rPr>
                <w:sz w:val="18"/>
                <w:szCs w:val="18"/>
              </w:rPr>
            </w:pPr>
          </w:p>
        </w:tc>
      </w:tr>
    </w:tbl>
    <w:p w:rsidR="00892549" w:rsidRDefault="00554B5D">
      <w:r>
        <w:lastRenderedPageBreak/>
        <w:tab/>
      </w:r>
      <w:r>
        <w:tab/>
        <w:t xml:space="preserve">Tv-udsendelse: UltraNyt </w:t>
      </w:r>
      <w:hyperlink r:id="rId9">
        <w:r>
          <w:rPr>
            <w:color w:val="1155CC"/>
            <w:u w:val="single"/>
          </w:rPr>
          <w:t>http://mitcfu.dk/TV0000113545</w:t>
        </w:r>
      </w:hyperlink>
      <w:r>
        <w:t xml:space="preserve"> </w:t>
      </w:r>
    </w:p>
    <w:p w:rsidR="00892549" w:rsidRDefault="00554B5D">
      <w:r>
        <w:tab/>
      </w:r>
      <w:r>
        <w:tab/>
        <w:t xml:space="preserve">E-bog: De hemmelige youtubere </w:t>
      </w:r>
      <w:hyperlink r:id="rId10">
        <w:r>
          <w:rPr>
            <w:color w:val="1155CC"/>
            <w:u w:val="single"/>
          </w:rPr>
          <w:t>http://mitcfu.dk/CFUEBOG1108855</w:t>
        </w:r>
      </w:hyperlink>
      <w:r>
        <w:t xml:space="preserve"> </w:t>
      </w:r>
    </w:p>
    <w:p w:rsidR="00892549" w:rsidRDefault="00554B5D">
      <w:r>
        <w:tab/>
      </w:r>
      <w:r>
        <w:tab/>
        <w:t xml:space="preserve">E-bog: Selfie Simon </w:t>
      </w:r>
      <w:hyperlink r:id="rId11">
        <w:r>
          <w:rPr>
            <w:color w:val="1155CC"/>
            <w:u w:val="single"/>
          </w:rPr>
          <w:t>http://mitcfu.dk/CFUEBOG110093</w:t>
        </w:r>
        <w:r>
          <w:rPr>
            <w:color w:val="1155CC"/>
            <w:u w:val="single"/>
          </w:rPr>
          <w:t>1</w:t>
        </w:r>
      </w:hyperlink>
      <w:r>
        <w:t xml:space="preserve"> </w:t>
      </w:r>
    </w:p>
    <w:sectPr w:rsidR="00892549">
      <w:headerReference w:type="default" r:id="rId12"/>
      <w:footerReference w:type="default" r:id="rId13"/>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B5D" w:rsidRDefault="00554B5D">
      <w:pPr>
        <w:spacing w:after="0"/>
      </w:pPr>
      <w:r>
        <w:separator/>
      </w:r>
    </w:p>
  </w:endnote>
  <w:endnote w:type="continuationSeparator" w:id="0">
    <w:p w:rsidR="00554B5D" w:rsidRDefault="00554B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Robot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49" w:rsidRDefault="00554B5D">
    <w:pPr>
      <w:pBdr>
        <w:top w:val="nil"/>
        <w:left w:val="nil"/>
        <w:bottom w:val="nil"/>
        <w:right w:val="nil"/>
        <w:between w:val="nil"/>
      </w:pBdr>
      <w:tabs>
        <w:tab w:val="center" w:pos="4819"/>
        <w:tab w:val="right" w:pos="9638"/>
      </w:tabs>
      <w:spacing w:after="0"/>
      <w:rPr>
        <w:color w:val="000000"/>
      </w:rPr>
    </w:pPr>
    <w:r>
      <w:pict>
        <v:rect id="_x0000_i1026" style="width:0;height:1.5pt" o:hralign="center" o:hrstd="t" o:hr="t" fillcolor="#a0a0a0" stroked="f"/>
      </w:pict>
    </w:r>
  </w:p>
  <w:p w:rsidR="00892549" w:rsidRDefault="00554B5D">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Pr>
        <w:sz w:val="18"/>
        <w:szCs w:val="18"/>
      </w:rPr>
      <w:t>Trine Ferdinand</w:t>
    </w:r>
    <w:r>
      <w:rPr>
        <w:color w:val="000000"/>
        <w:sz w:val="18"/>
        <w:szCs w:val="18"/>
      </w:rPr>
      <w:t xml:space="preserve">, </w:t>
    </w:r>
    <w:r>
      <w:rPr>
        <w:sz w:val="18"/>
        <w:szCs w:val="18"/>
      </w:rPr>
      <w:t xml:space="preserve">danskkonsulent </w:t>
    </w:r>
    <w:r>
      <w:rPr>
        <w:color w:val="000000"/>
        <w:sz w:val="18"/>
        <w:szCs w:val="18"/>
      </w:rPr>
      <w:t xml:space="preserve">CFU </w:t>
    </w:r>
    <w:r>
      <w:rPr>
        <w:sz w:val="18"/>
        <w:szCs w:val="18"/>
      </w:rPr>
      <w:t>KP</w:t>
    </w:r>
    <w:r>
      <w:rPr>
        <w:color w:val="000000"/>
        <w:sz w:val="18"/>
        <w:szCs w:val="18"/>
      </w:rPr>
      <w:t xml:space="preserve">, </w:t>
    </w:r>
    <w:r>
      <w:rPr>
        <w:sz w:val="18"/>
        <w:szCs w:val="18"/>
      </w:rPr>
      <w:t>marts 2020</w:t>
    </w:r>
  </w:p>
  <w:p w:rsidR="00892549" w:rsidRDefault="00554B5D">
    <w:pPr>
      <w:pBdr>
        <w:top w:val="nil"/>
        <w:left w:val="nil"/>
        <w:bottom w:val="nil"/>
        <w:right w:val="nil"/>
        <w:between w:val="nil"/>
      </w:pBdr>
      <w:tabs>
        <w:tab w:val="center" w:pos="4819"/>
        <w:tab w:val="right" w:pos="9638"/>
      </w:tabs>
      <w:spacing w:after="0"/>
    </w:pPr>
    <w:r>
      <w:tab/>
    </w:r>
    <w:r>
      <w:tab/>
    </w:r>
    <w:r>
      <w:rPr>
        <w:noProof/>
      </w:rPr>
      <w:drawing>
        <wp:inline distT="114300" distB="114300" distL="114300" distR="114300">
          <wp:extent cx="533400" cy="1047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rsidR="00892549" w:rsidRDefault="00554B5D">
    <w:pPr>
      <w:pBdr>
        <w:top w:val="nil"/>
        <w:left w:val="nil"/>
        <w:bottom w:val="nil"/>
        <w:right w:val="nil"/>
        <w:between w:val="nil"/>
      </w:pBdr>
      <w:tabs>
        <w:tab w:val="center" w:pos="4819"/>
        <w:tab w:val="right" w:pos="9638"/>
      </w:tabs>
      <w:spacing w:after="218"/>
      <w:jc w:val="right"/>
    </w:pPr>
    <w:r>
      <w:fldChar w:fldCharType="begin"/>
    </w:r>
    <w:r>
      <w:instrText>PAGE</w:instrText>
    </w:r>
    <w:r w:rsidR="002E271C">
      <w:fldChar w:fldCharType="separate"/>
    </w:r>
    <w:r w:rsidR="002E271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B5D" w:rsidRDefault="00554B5D">
      <w:pPr>
        <w:spacing w:after="0"/>
      </w:pPr>
      <w:r>
        <w:separator/>
      </w:r>
    </w:p>
  </w:footnote>
  <w:footnote w:type="continuationSeparator" w:id="0">
    <w:p w:rsidR="00554B5D" w:rsidRDefault="00554B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49" w:rsidRDefault="00554B5D">
    <w:pPr>
      <w:pBdr>
        <w:top w:val="nil"/>
        <w:left w:val="nil"/>
        <w:bottom w:val="nil"/>
        <w:right w:val="nil"/>
        <w:between w:val="nil"/>
      </w:pBdr>
      <w:tabs>
        <w:tab w:val="center" w:pos="0"/>
        <w:tab w:val="left" w:pos="4260"/>
      </w:tabs>
      <w:spacing w:before="708" w:after="0"/>
      <w:ind w:left="720" w:right="5"/>
      <w:jc w:val="right"/>
      <w:rPr>
        <w:color w:val="0000FF"/>
        <w:u w:val="single"/>
      </w:rPr>
    </w:pPr>
    <w:r>
      <w:rPr>
        <w:b/>
        <w:color w:val="000000"/>
      </w:rPr>
      <w:tab/>
    </w:r>
    <w:r>
      <w:rPr>
        <w:b/>
        <w:color w:val="000000"/>
      </w:rPr>
      <w:tab/>
    </w:r>
    <w:r>
      <w:rPr>
        <w:b/>
      </w:rPr>
      <w:tab/>
    </w:r>
    <w:r>
      <w:rPr>
        <w:b/>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r>
      <w:rPr>
        <w:color w:val="000000"/>
      </w:rPr>
      <w:tab/>
    </w:r>
    <w:hyperlink r:id="rId1">
      <w:r>
        <w:rPr>
          <w:color w:val="1155CC"/>
          <w:u w:val="single"/>
        </w:rPr>
        <w:t>http://.mitcfu.dk/CFUEBOG1108269</w:t>
      </w:r>
    </w:hyperlink>
    <w:r>
      <w:rPr>
        <w:color w:val="000000"/>
      </w:rPr>
      <w:t xml:space="preserve"> </w:t>
    </w:r>
    <w:r>
      <w:rPr>
        <w:color w:val="0000FF"/>
        <w:u w:val="single"/>
      </w:rPr>
      <w:t xml:space="preserve"> </w:t>
    </w:r>
    <w:r>
      <w:rPr>
        <w:noProof/>
      </w:rPr>
      <w:drawing>
        <wp:anchor distT="0" distB="0" distL="114300" distR="114300" simplePos="0" relativeHeight="251658240" behindDoc="0" locked="0" layoutInCell="1" hidden="0" allowOverlap="1">
          <wp:simplePos x="0" y="0"/>
          <wp:positionH relativeFrom="column">
            <wp:posOffset>123825</wp:posOffset>
          </wp:positionH>
          <wp:positionV relativeFrom="paragraph">
            <wp:posOffset>342900</wp:posOffset>
          </wp:positionV>
          <wp:extent cx="2418398" cy="390525"/>
          <wp:effectExtent l="0" t="0" r="0" b="0"/>
          <wp:wrapSquare wrapText="bothSides" distT="0" distB="0" distL="114300" distR="114300"/>
          <wp:docPr id="2" name="image3.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3.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p>
  <w:p w:rsidR="00892549" w:rsidRDefault="00554B5D">
    <w:pPr>
      <w:pBdr>
        <w:top w:val="nil"/>
        <w:left w:val="nil"/>
        <w:bottom w:val="nil"/>
        <w:right w:val="nil"/>
        <w:between w:val="nil"/>
      </w:pBdr>
      <w:tabs>
        <w:tab w:val="center" w:pos="4819"/>
        <w:tab w:val="right" w:pos="9638"/>
      </w:tabs>
      <w:spacing w:after="0"/>
      <w:jc w:val="right"/>
      <w:rPr>
        <w:color w:val="000000"/>
      </w:rPr>
    </w:pPr>
    <w:r>
      <w:pict>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49"/>
    <w:rsid w:val="002E271C"/>
    <w:rsid w:val="00554B5D"/>
    <w:rsid w:val="008925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09138D-9B87-4D83-9D42-28A00F10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mitcfu.dk/TV0000113545"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kp.mitcfu.dk/CFUEBOG1108269"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kp.mitcfu.dk/CFUEBOG110093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kp.mitcfu.dk/CFUEBOG1108855" TargetMode="External"/><Relationship Id="rId4" Type="http://schemas.openxmlformats.org/officeDocument/2006/relationships/footnotes" Target="footnotes.xml"/><Relationship Id="rId9" Type="http://schemas.openxmlformats.org/officeDocument/2006/relationships/hyperlink" Target="http://mitcfu.dk/TV000011354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mitcfu.dk/CFUEBOG1108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3146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VIA.DK</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Abrahamsen (KAAB) | VIA</dc:creator>
  <cp:lastModifiedBy>Karin Abrahamsen (KAAB) | VIA</cp:lastModifiedBy>
  <cp:revision>2</cp:revision>
  <dcterms:created xsi:type="dcterms:W3CDTF">2020-03-31T09:16:00Z</dcterms:created>
  <dcterms:modified xsi:type="dcterms:W3CDTF">2020-03-31T09:16:00Z</dcterms:modified>
</cp:coreProperties>
</file>