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86382" w:rsidRDefault="00DA696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5047615</wp:posOffset>
                </wp:positionH>
                <wp:positionV relativeFrom="paragraph">
                  <wp:posOffset>63500</wp:posOffset>
                </wp:positionV>
                <wp:extent cx="911860" cy="914400"/>
                <wp:effectExtent l="0" t="0" r="21590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860" cy="91440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395E89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86382" w:rsidRDefault="00D75DCE">
                            <w:pPr>
                              <w:spacing w:after="0"/>
                              <w:textDirection w:val="btLr"/>
                            </w:pPr>
                            <w:r w:rsidRPr="00D75DCE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728980" cy="728980"/>
                                  <wp:effectExtent l="0" t="0" r="0" b="0"/>
                                  <wp:docPr id="4" name="Billede 4" descr="C:\Users\rikf\Downloads\fram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C:\Users\rikf\Downloads\fram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8980" cy="728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" o:spid="_x0000_s1026" style="position:absolute;margin-left:397.45pt;margin-top:5pt;width:71.8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" filled="f" strokecolor="#395e89" strokeweight="1.25pt">
                <v:stroke dashstyle="dash" startarrowwidth="narrow" startarrowlength="short" endarrowwidth="narrow" endarrowlength="short" joinstyle="round"/>
                <v:textbox inset="2.53958mm,2.53958mm,2.53958mm,2.53958mm">
                  <w:txbxContent>
                    <w:p w:rsidR="00786382" w:rsidRDefault="00D75DCE">
                      <w:pPr>
                        <w:spacing w:after="0"/>
                        <w:textDirection w:val="btLr"/>
                      </w:pPr>
                      <w:r w:rsidRPr="00D75DCE"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728980" cy="728980"/>
                            <wp:effectExtent l="0" t="0" r="0" b="0"/>
                            <wp:docPr id="4" name="Billede 4" descr="C:\Users\rikf\Downloads\fram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 descr="C:\Users\rikf\Downloads\fram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8980" cy="728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"/>
        <w:tblW w:w="96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55"/>
        <w:gridCol w:w="5811"/>
        <w:gridCol w:w="2262"/>
      </w:tblGrid>
      <w:tr w:rsidR="00786382" w:rsidRPr="00B650D7" w:rsidTr="00BB39D6">
        <w:trPr>
          <w:trHeight w:val="200"/>
        </w:trPr>
        <w:tc>
          <w:tcPr>
            <w:tcW w:w="1555" w:type="dxa"/>
          </w:tcPr>
          <w:p w:rsidR="00786382" w:rsidRDefault="00DA696F">
            <w:pPr>
              <w:pStyle w:val="Overskrift1"/>
              <w:spacing w:before="0" w:after="120"/>
              <w:outlineLvl w:val="0"/>
            </w:pPr>
            <w:r>
              <w:rPr>
                <w:rFonts w:ascii="Calibri" w:eastAsia="Calibri" w:hAnsi="Calibri" w:cs="Calibri"/>
                <w:color w:val="1D266B"/>
                <w:sz w:val="32"/>
                <w:szCs w:val="32"/>
              </w:rPr>
              <w:t xml:space="preserve">Titel: </w:t>
            </w:r>
          </w:p>
        </w:tc>
        <w:tc>
          <w:tcPr>
            <w:tcW w:w="5811" w:type="dxa"/>
          </w:tcPr>
          <w:p w:rsidR="00786382" w:rsidRPr="006033B7" w:rsidRDefault="00603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  <w:lang w:val="en-US"/>
              </w:rPr>
            </w:pPr>
            <w:r w:rsidRPr="006033B7">
              <w:rPr>
                <w:b/>
                <w:color w:val="000000"/>
                <w:sz w:val="32"/>
                <w:szCs w:val="32"/>
                <w:lang w:val="en-US"/>
              </w:rPr>
              <w:t>Three Billboards Outside Ebbing, Missouri</w:t>
            </w:r>
          </w:p>
        </w:tc>
        <w:tc>
          <w:tcPr>
            <w:tcW w:w="2262" w:type="dxa"/>
            <w:vMerge w:val="restart"/>
          </w:tcPr>
          <w:p w:rsidR="00786382" w:rsidRPr="006033B7" w:rsidRDefault="00786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</w:p>
          <w:p w:rsidR="00786382" w:rsidRPr="006033B7" w:rsidRDefault="00786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</w:p>
          <w:p w:rsidR="00786382" w:rsidRPr="006033B7" w:rsidRDefault="00786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</w:p>
          <w:p w:rsidR="00786382" w:rsidRPr="006033B7" w:rsidRDefault="00786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</w:p>
          <w:p w:rsidR="00786382" w:rsidRPr="006033B7" w:rsidRDefault="00786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</w:p>
          <w:p w:rsidR="00786382" w:rsidRPr="006033B7" w:rsidRDefault="00786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</w:p>
        </w:tc>
      </w:tr>
      <w:tr w:rsidR="00786382" w:rsidRPr="00B650D7" w:rsidTr="00BB39D6">
        <w:trPr>
          <w:trHeight w:val="200"/>
        </w:trPr>
        <w:tc>
          <w:tcPr>
            <w:tcW w:w="1555" w:type="dxa"/>
          </w:tcPr>
          <w:p w:rsidR="00786382" w:rsidRDefault="00DA6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Tema:</w:t>
            </w:r>
          </w:p>
        </w:tc>
        <w:tc>
          <w:tcPr>
            <w:tcW w:w="5811" w:type="dxa"/>
          </w:tcPr>
          <w:p w:rsidR="00786382" w:rsidRPr="006033B7" w:rsidRDefault="00603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Gender Issu</w:t>
            </w:r>
            <w:r w:rsidR="007C6BEF">
              <w:rPr>
                <w:color w:val="000000"/>
                <w:lang w:val="en-US"/>
              </w:rPr>
              <w:t>es, Racism, Powerful Women/#</w:t>
            </w:r>
            <w:proofErr w:type="spellStart"/>
            <w:r w:rsidR="007C6BEF">
              <w:rPr>
                <w:color w:val="000000"/>
                <w:lang w:val="en-US"/>
              </w:rPr>
              <w:t>MeT</w:t>
            </w:r>
            <w:r>
              <w:rPr>
                <w:color w:val="000000"/>
                <w:lang w:val="en-US"/>
              </w:rPr>
              <w:t>oo</w:t>
            </w:r>
            <w:proofErr w:type="spellEnd"/>
            <w:r w:rsidR="000D194C">
              <w:rPr>
                <w:color w:val="000000"/>
                <w:lang w:val="en-US"/>
              </w:rPr>
              <w:t xml:space="preserve">, Revenge, Vigilantism, </w:t>
            </w:r>
            <w:r w:rsidR="000178D0">
              <w:rPr>
                <w:color w:val="000000"/>
                <w:lang w:val="en-US"/>
              </w:rPr>
              <w:t xml:space="preserve">Violence, </w:t>
            </w:r>
            <w:r w:rsidR="007B458B">
              <w:rPr>
                <w:color w:val="000000"/>
                <w:lang w:val="en-US"/>
              </w:rPr>
              <w:t xml:space="preserve">homophobia, </w:t>
            </w:r>
            <w:r w:rsidR="000D194C">
              <w:rPr>
                <w:color w:val="000000"/>
                <w:lang w:val="en-US"/>
              </w:rPr>
              <w:t>Crime, Comedy</w:t>
            </w:r>
          </w:p>
        </w:tc>
        <w:tc>
          <w:tcPr>
            <w:tcW w:w="2262" w:type="dxa"/>
            <w:vMerge/>
          </w:tcPr>
          <w:p w:rsidR="00786382" w:rsidRPr="006033B7" w:rsidRDefault="00786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</w:p>
        </w:tc>
      </w:tr>
      <w:tr w:rsidR="00786382" w:rsidTr="00BB39D6">
        <w:trPr>
          <w:trHeight w:val="200"/>
        </w:trPr>
        <w:tc>
          <w:tcPr>
            <w:tcW w:w="1555" w:type="dxa"/>
          </w:tcPr>
          <w:p w:rsidR="00786382" w:rsidRDefault="00DA6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Fag:  </w:t>
            </w:r>
          </w:p>
        </w:tc>
        <w:tc>
          <w:tcPr>
            <w:tcW w:w="5811" w:type="dxa"/>
          </w:tcPr>
          <w:p w:rsidR="00786382" w:rsidRDefault="00D75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Engelsk</w:t>
            </w:r>
          </w:p>
        </w:tc>
        <w:tc>
          <w:tcPr>
            <w:tcW w:w="2262" w:type="dxa"/>
            <w:vMerge/>
          </w:tcPr>
          <w:p w:rsidR="00786382" w:rsidRDefault="00786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86382" w:rsidTr="00BB39D6">
        <w:trPr>
          <w:trHeight w:val="200"/>
        </w:trPr>
        <w:tc>
          <w:tcPr>
            <w:tcW w:w="1555" w:type="dxa"/>
          </w:tcPr>
          <w:p w:rsidR="00786382" w:rsidRDefault="00DA6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Målgruppe:</w:t>
            </w:r>
          </w:p>
        </w:tc>
        <w:tc>
          <w:tcPr>
            <w:tcW w:w="5811" w:type="dxa"/>
          </w:tcPr>
          <w:p w:rsidR="00786382" w:rsidRDefault="00D75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1-3g, engelsk A- og B-niveau</w:t>
            </w:r>
            <w:r w:rsidR="000178D0">
              <w:rPr>
                <w:color w:val="000000"/>
              </w:rPr>
              <w:t>, gym</w:t>
            </w:r>
            <w:r w:rsidR="00B650D7">
              <w:rPr>
                <w:color w:val="000000"/>
              </w:rPr>
              <w:t>n</w:t>
            </w:r>
            <w:r w:rsidR="000178D0">
              <w:rPr>
                <w:color w:val="000000"/>
              </w:rPr>
              <w:t>asiet</w:t>
            </w:r>
          </w:p>
        </w:tc>
        <w:tc>
          <w:tcPr>
            <w:tcW w:w="2262" w:type="dxa"/>
            <w:vMerge/>
          </w:tcPr>
          <w:p w:rsidR="00786382" w:rsidRDefault="00786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86382" w:rsidTr="00BB39D6">
        <w:tc>
          <w:tcPr>
            <w:tcW w:w="1555" w:type="dxa"/>
          </w:tcPr>
          <w:p w:rsidR="00786382" w:rsidRDefault="00786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811" w:type="dxa"/>
          </w:tcPr>
          <w:p w:rsidR="00786382" w:rsidRDefault="00786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2" w:type="dxa"/>
            <w:vMerge/>
          </w:tcPr>
          <w:p w:rsidR="00786382" w:rsidRDefault="00786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86382" w:rsidRPr="007B458B" w:rsidTr="00BB39D6">
        <w:trPr>
          <w:trHeight w:val="10040"/>
        </w:trPr>
        <w:tc>
          <w:tcPr>
            <w:tcW w:w="1555" w:type="dxa"/>
          </w:tcPr>
          <w:p w:rsidR="00786382" w:rsidRDefault="00786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bookmarkStart w:id="0" w:name="_gjdgxs" w:colFirst="0" w:colLast="0"/>
            <w:bookmarkEnd w:id="0"/>
          </w:p>
        </w:tc>
        <w:tc>
          <w:tcPr>
            <w:tcW w:w="8073" w:type="dxa"/>
            <w:gridSpan w:val="2"/>
          </w:tcPr>
          <w:p w:rsidR="00C94987" w:rsidRPr="007C6BEF" w:rsidRDefault="00C94987" w:rsidP="00D96D4D">
            <w:pPr>
              <w:rPr>
                <w:b/>
              </w:rPr>
            </w:pPr>
          </w:p>
          <w:p w:rsidR="00786382" w:rsidRPr="000178D0" w:rsidRDefault="00DA696F" w:rsidP="00D96D4D">
            <w:pPr>
              <w:rPr>
                <w:lang w:val="en-US"/>
              </w:rPr>
            </w:pPr>
            <w:proofErr w:type="spellStart"/>
            <w:r w:rsidRPr="000178D0">
              <w:rPr>
                <w:b/>
                <w:lang w:val="en-US"/>
              </w:rPr>
              <w:t>Spillefilm</w:t>
            </w:r>
            <w:proofErr w:type="spellEnd"/>
            <w:r w:rsidRPr="000178D0">
              <w:rPr>
                <w:b/>
                <w:lang w:val="en-US"/>
              </w:rPr>
              <w:t>:</w:t>
            </w:r>
            <w:r w:rsidR="00D22C5E" w:rsidRPr="000178D0">
              <w:rPr>
                <w:lang w:val="en-US"/>
              </w:rPr>
              <w:t xml:space="preserve"> 111 min.</w:t>
            </w:r>
            <w:r w:rsidRPr="000178D0">
              <w:rPr>
                <w:lang w:val="en-US"/>
              </w:rPr>
              <w:t xml:space="preserve">, </w:t>
            </w:r>
            <w:r w:rsidR="00D22C5E" w:rsidRPr="000178D0">
              <w:rPr>
                <w:lang w:val="en-US"/>
              </w:rPr>
              <w:t>2017</w:t>
            </w:r>
            <w:r w:rsidRPr="000178D0">
              <w:rPr>
                <w:lang w:val="en-US"/>
              </w:rPr>
              <w:t xml:space="preserve">, </w:t>
            </w:r>
            <w:r w:rsidR="00D22C5E" w:rsidRPr="000178D0">
              <w:rPr>
                <w:lang w:val="en-US"/>
              </w:rPr>
              <w:t>20th Century Fox, 2019</w:t>
            </w:r>
          </w:p>
          <w:p w:rsidR="00D22C5E" w:rsidRPr="000178D0" w:rsidRDefault="00D22C5E" w:rsidP="00D96D4D">
            <w:pPr>
              <w:rPr>
                <w:lang w:val="en-US"/>
              </w:rPr>
            </w:pPr>
          </w:p>
          <w:p w:rsidR="00786382" w:rsidRDefault="00D22C5E" w:rsidP="00D96D4D">
            <w:r w:rsidRPr="00D22C5E">
              <w:t xml:space="preserve">Denne pædagogiske vejledning </w:t>
            </w:r>
            <w:r>
              <w:t>indeholder et kapitelsæt til filmen</w:t>
            </w:r>
            <w:r w:rsidR="00BB6A83">
              <w:t>,</w:t>
            </w:r>
            <w:bookmarkStart w:id="1" w:name="_GoBack"/>
            <w:bookmarkEnd w:id="1"/>
            <w:r w:rsidR="00D803A7">
              <w:t xml:space="preserve"> samt ideer til hvordan man kan arbejde med filmen</w:t>
            </w:r>
            <w:r w:rsidR="00516EA2">
              <w:t xml:space="preserve"> uafhængigt af et tematisk forløb</w:t>
            </w:r>
            <w:r w:rsidR="00D803A7">
              <w:t>.</w:t>
            </w:r>
          </w:p>
          <w:p w:rsidR="00D803A7" w:rsidRDefault="00D803A7" w:rsidP="00D96D4D"/>
          <w:p w:rsidR="00786382" w:rsidRDefault="00DA696F" w:rsidP="00D96D4D">
            <w:pPr>
              <w:rPr>
                <w:b/>
                <w:color w:val="1D266B"/>
                <w:sz w:val="32"/>
                <w:szCs w:val="32"/>
              </w:rPr>
            </w:pPr>
            <w:r>
              <w:rPr>
                <w:b/>
                <w:color w:val="1D266B"/>
                <w:sz w:val="32"/>
                <w:szCs w:val="32"/>
              </w:rPr>
              <w:t>Faglig relevans/kompetenceområder</w:t>
            </w:r>
          </w:p>
          <w:p w:rsidR="00BF5387" w:rsidRDefault="00D803A7" w:rsidP="00D96D4D">
            <w:r>
              <w:t xml:space="preserve">Kapitelsættet til filmen er aktiverende arbejdsspørgsmål, der fokuserer på analyse af </w:t>
            </w:r>
            <w:r w:rsidR="000102AE">
              <w:t xml:space="preserve">filmplakat, genre, </w:t>
            </w:r>
            <w:r>
              <w:t>filmens plot samt karakteristik af hovedpersonerne. Nedenfor er yderligere ideer til arbejdet med filmen, der fokuserer på filmanalyse (alle niveauer) samt autonomt arbejde, der</w:t>
            </w:r>
            <w:r w:rsidR="00D2276F">
              <w:t xml:space="preserve"> træner eleverne i at</w:t>
            </w:r>
            <w:r w:rsidR="00D103FD">
              <w:t>:</w:t>
            </w:r>
          </w:p>
          <w:p w:rsidR="00DD491B" w:rsidRDefault="00DD491B" w:rsidP="00D96D4D"/>
          <w:p w:rsidR="00BF5387" w:rsidRDefault="00D2276F" w:rsidP="00815B87">
            <w:pPr>
              <w:pStyle w:val="Listeafsnit"/>
              <w:numPr>
                <w:ilvl w:val="0"/>
                <w:numId w:val="5"/>
              </w:numPr>
            </w:pPr>
            <w:r>
              <w:t xml:space="preserve">finde temaer og budskaber </w:t>
            </w:r>
          </w:p>
          <w:p w:rsidR="00BF5387" w:rsidRDefault="00BF5387" w:rsidP="00815B87">
            <w:pPr>
              <w:pStyle w:val="Listeafsnit"/>
              <w:numPr>
                <w:ilvl w:val="0"/>
                <w:numId w:val="5"/>
              </w:numPr>
            </w:pPr>
            <w:r>
              <w:t>lave</w:t>
            </w:r>
            <w:r w:rsidR="00D2276F">
              <w:t xml:space="preserve"> materiale</w:t>
            </w:r>
            <w:r>
              <w:t>søgning</w:t>
            </w:r>
          </w:p>
          <w:p w:rsidR="00D103FD" w:rsidRDefault="00D103FD" w:rsidP="00815B87">
            <w:pPr>
              <w:pStyle w:val="Listeafsnit"/>
              <w:numPr>
                <w:ilvl w:val="0"/>
                <w:numId w:val="5"/>
              </w:numPr>
            </w:pPr>
            <w:r>
              <w:t>stille spørgsmål til tekstmateriale</w:t>
            </w:r>
          </w:p>
          <w:p w:rsidR="00D803A7" w:rsidRDefault="00BF5387" w:rsidP="00815B87">
            <w:pPr>
              <w:pStyle w:val="Listeafsnit"/>
              <w:numPr>
                <w:ilvl w:val="0"/>
                <w:numId w:val="5"/>
              </w:numPr>
            </w:pPr>
            <w:r>
              <w:t>holde oplæg</w:t>
            </w:r>
          </w:p>
          <w:p w:rsidR="00D103FD" w:rsidRPr="00BF5387" w:rsidRDefault="00D103FD" w:rsidP="00815B87">
            <w:pPr>
              <w:pStyle w:val="Listeafsnit"/>
              <w:numPr>
                <w:ilvl w:val="0"/>
                <w:numId w:val="5"/>
              </w:numPr>
            </w:pPr>
            <w:r>
              <w:t>facilitere gruppearbejde for klassekammeraterne</w:t>
            </w:r>
          </w:p>
          <w:p w:rsidR="00786382" w:rsidRDefault="00DA696F" w:rsidP="00D96D4D">
            <w:pPr>
              <w:spacing w:before="240"/>
              <w:rPr>
                <w:b/>
                <w:color w:val="1D266B"/>
                <w:sz w:val="32"/>
                <w:szCs w:val="32"/>
              </w:rPr>
            </w:pPr>
            <w:r>
              <w:rPr>
                <w:b/>
                <w:color w:val="1D266B"/>
                <w:sz w:val="32"/>
                <w:szCs w:val="32"/>
              </w:rPr>
              <w:t>Ideer til undervisningen</w:t>
            </w:r>
          </w:p>
          <w:p w:rsidR="00D803A7" w:rsidRPr="00D2276F" w:rsidRDefault="00D803A7" w:rsidP="00D96D4D">
            <w:pPr>
              <w:rPr>
                <w:u w:val="single"/>
              </w:rPr>
            </w:pPr>
            <w:r w:rsidRPr="00D2276F">
              <w:rPr>
                <w:u w:val="single"/>
              </w:rPr>
              <w:t>Filmanalyse</w:t>
            </w:r>
          </w:p>
          <w:p w:rsidR="00161699" w:rsidRDefault="00D803A7" w:rsidP="00D96D4D">
            <w:r>
              <w:t>Ud over arbejdsspørgsmålene i kapitelsættet kan eleverne fokusere på en reel filmanalyse af de filmiske virkemidler. Vejledning med faglige udtryk, som eleverne har brug for til dette arbejde er i et separat dokument under posten.</w:t>
            </w:r>
          </w:p>
          <w:p w:rsidR="00813568" w:rsidRDefault="00813568" w:rsidP="00D96D4D">
            <w:r>
              <w:t xml:space="preserve"> </w:t>
            </w:r>
          </w:p>
          <w:p w:rsidR="00D803A7" w:rsidRDefault="00813568" w:rsidP="00815B87">
            <w:pPr>
              <w:pStyle w:val="Listeafsnit"/>
              <w:numPr>
                <w:ilvl w:val="0"/>
                <w:numId w:val="6"/>
              </w:numPr>
            </w:pPr>
            <w:r>
              <w:t xml:space="preserve">Del evt. klassen op, så nogle af eleverne arbejder udelukkende med filmiske virkemidler og andre med plot-analyse og personkarakteristik. </w:t>
            </w:r>
            <w:r w:rsidR="00D803A7">
              <w:t xml:space="preserve"> </w:t>
            </w:r>
          </w:p>
          <w:p w:rsidR="00813568" w:rsidRDefault="00813568" w:rsidP="00815B87">
            <w:pPr>
              <w:pStyle w:val="Listeafsnit"/>
              <w:numPr>
                <w:ilvl w:val="0"/>
                <w:numId w:val="6"/>
              </w:numPr>
            </w:pPr>
            <w:r>
              <w:t>Dernæst præsenterer eleverne deres analyser for hinanden.</w:t>
            </w:r>
          </w:p>
          <w:p w:rsidR="00813568" w:rsidRDefault="00813568" w:rsidP="00815B87">
            <w:pPr>
              <w:pStyle w:val="Listeafsnit"/>
              <w:numPr>
                <w:ilvl w:val="0"/>
                <w:numId w:val="6"/>
              </w:numPr>
            </w:pPr>
            <w:r>
              <w:t>Slutteligt diskuterer du hvordan billeder, lyd, dialog mm. understøtter hinanden i fremstillingen af personer, miljø, stemning, temaer, budskaber mm.</w:t>
            </w:r>
          </w:p>
          <w:p w:rsidR="00D803A7" w:rsidRDefault="00D803A7" w:rsidP="00D96D4D"/>
          <w:p w:rsidR="00D803A7" w:rsidRPr="00516EA2" w:rsidRDefault="00D803A7" w:rsidP="00D96D4D">
            <w:pPr>
              <w:rPr>
                <w:u w:val="single"/>
              </w:rPr>
            </w:pPr>
            <w:r w:rsidRPr="00516EA2">
              <w:rPr>
                <w:u w:val="single"/>
              </w:rPr>
              <w:t>Aut</w:t>
            </w:r>
            <w:r w:rsidR="00DD491B">
              <w:rPr>
                <w:u w:val="single"/>
              </w:rPr>
              <w:t>onomt arbejde med temaer</w:t>
            </w:r>
          </w:p>
          <w:p w:rsidR="00D803A7" w:rsidRDefault="00516EA2" w:rsidP="00D96D4D">
            <w:r>
              <w:t>Vis filmen uafhængig af et tematisk forløb, og l</w:t>
            </w:r>
            <w:r w:rsidR="00D2276F">
              <w:t xml:space="preserve">ad eleverne arbejde med selv at finde temaer i filmen. </w:t>
            </w:r>
            <w:r>
              <w:t>Der er flere forskellige temaer i filmen, og ved at arbejde med filmen uden for et tematisk forløb, stilles der større krav til elevernes analytiske opmærksomhed i forhold til temaer, som jo således ikke er givet på forhånd.</w:t>
            </w:r>
          </w:p>
          <w:p w:rsidR="00161699" w:rsidRDefault="00161699" w:rsidP="00D96D4D"/>
          <w:p w:rsidR="00516EA2" w:rsidRDefault="00516EA2" w:rsidP="00815B87">
            <w:pPr>
              <w:pStyle w:val="Opstilling-punkttegn"/>
              <w:numPr>
                <w:ilvl w:val="0"/>
                <w:numId w:val="7"/>
              </w:numPr>
            </w:pPr>
            <w:r>
              <w:t>Klassen ser filmen sammen med fokus på at finde mulige temaer i filmen. Understeg for dem, at der er flere muligheder.</w:t>
            </w:r>
          </w:p>
          <w:p w:rsidR="00516EA2" w:rsidRDefault="00516EA2" w:rsidP="00815B87">
            <w:pPr>
              <w:pStyle w:val="Opstilling-punkttegn"/>
              <w:numPr>
                <w:ilvl w:val="0"/>
                <w:numId w:val="7"/>
              </w:numPr>
            </w:pPr>
            <w:r>
              <w:lastRenderedPageBreak/>
              <w:t xml:space="preserve">Inddel klassen i grupper og lad eleverne diskutere mulige temaer og endelig skal de vælge et tema de vil arbejde </w:t>
            </w:r>
            <w:r w:rsidR="00161699">
              <w:t>videre med.</w:t>
            </w:r>
          </w:p>
          <w:p w:rsidR="005069B1" w:rsidRDefault="005069B1" w:rsidP="00815B87">
            <w:pPr>
              <w:pStyle w:val="Opstilling-punkttegn"/>
              <w:numPr>
                <w:ilvl w:val="0"/>
                <w:numId w:val="7"/>
              </w:numPr>
            </w:pPr>
            <w:r>
              <w:t xml:space="preserve">I gruppearbejdet skal eleverne tre opgaver: </w:t>
            </w:r>
          </w:p>
          <w:p w:rsidR="005069B1" w:rsidRDefault="005069B1" w:rsidP="004F2D35">
            <w:pPr>
              <w:pStyle w:val="Opstilling-punkttegn"/>
              <w:numPr>
                <w:ilvl w:val="0"/>
                <w:numId w:val="8"/>
              </w:numPr>
            </w:pPr>
            <w:r>
              <w:t>Analyse, hvor de</w:t>
            </w:r>
            <w:r w:rsidR="00161699">
              <w:t xml:space="preserve"> udvælge</w:t>
            </w:r>
            <w:r>
              <w:t>r</w:t>
            </w:r>
            <w:r w:rsidR="00161699">
              <w:t xml:space="preserve"> scener der understreger netop deres tema. </w:t>
            </w:r>
          </w:p>
          <w:p w:rsidR="00733E7E" w:rsidRDefault="005069B1" w:rsidP="004F2D35">
            <w:pPr>
              <w:pStyle w:val="Opstilling-punkttegn"/>
              <w:numPr>
                <w:ilvl w:val="0"/>
                <w:numId w:val="8"/>
              </w:numPr>
            </w:pPr>
            <w:r>
              <w:t>Forberedelse af oplæg</w:t>
            </w:r>
            <w:r w:rsidR="00161699">
              <w:t xml:space="preserve">, hvor de præsenterer deres analysearbejde. </w:t>
            </w:r>
            <w:r w:rsidR="00733E7E">
              <w:t>På filmen i mitCFU kan man nemt finde de relevante positioner i filmen vha. navigationsbjælken, der kun er synlig i minimeret filmvisning. Således kan eleverne vise relevante klip fra filmen i deres oplæg.</w:t>
            </w:r>
          </w:p>
          <w:p w:rsidR="005069B1" w:rsidRDefault="005069B1" w:rsidP="004F2D35">
            <w:pPr>
              <w:pStyle w:val="Opstilling-punkttegn"/>
              <w:numPr>
                <w:ilvl w:val="0"/>
                <w:numId w:val="8"/>
              </w:numPr>
            </w:pPr>
            <w:r>
              <w:t xml:space="preserve">Finde yderligere materiale på nettet der passer ind i deres tema, som de kan give resten af klassen som lektie inden selve oplægget. Det kan være en artikel, et </w:t>
            </w:r>
            <w:proofErr w:type="spellStart"/>
            <w:r>
              <w:t>tweet</w:t>
            </w:r>
            <w:proofErr w:type="spellEnd"/>
            <w:r>
              <w:t xml:space="preserve">, en </w:t>
            </w:r>
            <w:proofErr w:type="spellStart"/>
            <w:r>
              <w:t>vlog</w:t>
            </w:r>
            <w:proofErr w:type="spellEnd"/>
            <w:r>
              <w:t xml:space="preserve"> eller lignende, som de laver arbejdsspørgsmål til. Disse besvares af klassekammeraterne (hjemme eller på klassen).</w:t>
            </w:r>
          </w:p>
          <w:p w:rsidR="00161699" w:rsidRDefault="005069B1" w:rsidP="004F2D35">
            <w:pPr>
              <w:pStyle w:val="Opstilling-punkttegn"/>
              <w:numPr>
                <w:ilvl w:val="0"/>
                <w:numId w:val="8"/>
              </w:numPr>
            </w:pPr>
            <w:r>
              <w:t>Klassen diskuterer deres svar på arbejdsspørgsmålene på plenum eller i matrix-grupper. Oplægsgruppen fungerer som ’lærere’</w:t>
            </w:r>
            <w:r w:rsidR="000102AE">
              <w:t xml:space="preserve"> og </w:t>
            </w:r>
            <w:proofErr w:type="spellStart"/>
            <w:r w:rsidR="000102AE">
              <w:t>faciliterer</w:t>
            </w:r>
            <w:proofErr w:type="spellEnd"/>
            <w:r w:rsidR="000102AE">
              <w:t xml:space="preserve"> gruppearbejde og/eller opsamling</w:t>
            </w:r>
            <w:r>
              <w:t>.</w:t>
            </w:r>
          </w:p>
          <w:p w:rsidR="00161699" w:rsidRDefault="00161699" w:rsidP="00D96D4D">
            <w:pPr>
              <w:pStyle w:val="Opstilling-punkttegn"/>
              <w:numPr>
                <w:ilvl w:val="0"/>
                <w:numId w:val="0"/>
              </w:numPr>
              <w:ind w:hanging="360"/>
            </w:pPr>
          </w:p>
          <w:p w:rsidR="00161699" w:rsidRPr="00161699" w:rsidRDefault="000178D0" w:rsidP="00CF5A6E">
            <w:pPr>
              <w:pStyle w:val="Opstilling-punkttegn"/>
              <w:numPr>
                <w:ilvl w:val="0"/>
                <w:numId w:val="0"/>
              </w:numPr>
              <w:ind w:firstLine="21"/>
              <w:rPr>
                <w:u w:val="single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3748405</wp:posOffset>
                  </wp:positionH>
                  <wp:positionV relativeFrom="paragraph">
                    <wp:posOffset>53350</wp:posOffset>
                  </wp:positionV>
                  <wp:extent cx="937260" cy="1427480"/>
                  <wp:effectExtent l="0" t="0" r="0" b="1270"/>
                  <wp:wrapSquare wrapText="bothSides"/>
                  <wp:docPr id="5" name="Billede 5" descr="Hent filmplak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nt filmplak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42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61699" w:rsidRPr="00161699">
              <w:rPr>
                <w:u w:val="single"/>
              </w:rPr>
              <w:t>Filmplakat</w:t>
            </w:r>
          </w:p>
          <w:p w:rsidR="00161699" w:rsidRPr="00161699" w:rsidRDefault="00161699" w:rsidP="00CF5A6E">
            <w:pPr>
              <w:pStyle w:val="Opstilling-punkttegn"/>
              <w:numPr>
                <w:ilvl w:val="0"/>
                <w:numId w:val="0"/>
              </w:numPr>
              <w:ind w:firstLine="21"/>
            </w:pPr>
            <w:r>
              <w:t xml:space="preserve">Brug filmplakaten som </w:t>
            </w:r>
            <w:r w:rsidR="00CF5A6E" w:rsidRPr="00B650D7">
              <w:t>’</w:t>
            </w:r>
            <w:proofErr w:type="spellStart"/>
            <w:r w:rsidRPr="00B650D7">
              <w:t>pre</w:t>
            </w:r>
            <w:proofErr w:type="spellEnd"/>
            <w:r w:rsidRPr="00CF5A6E">
              <w:t>- eller post-</w:t>
            </w:r>
            <w:proofErr w:type="spellStart"/>
            <w:r w:rsidRPr="00B650D7">
              <w:t>reading</w:t>
            </w:r>
            <w:proofErr w:type="spellEnd"/>
            <w:r w:rsidR="00CF5A6E" w:rsidRPr="00B650D7">
              <w:t>’</w:t>
            </w:r>
            <w:r>
              <w:t>. Plakaten ligger til download på posten</w:t>
            </w:r>
          </w:p>
          <w:p w:rsidR="00516EA2" w:rsidRDefault="00516EA2" w:rsidP="00D96D4D"/>
          <w:p w:rsidR="00516EA2" w:rsidRPr="00E62844" w:rsidRDefault="000102AE" w:rsidP="00D96D4D">
            <w:pPr>
              <w:rPr>
                <w:u w:val="single"/>
              </w:rPr>
            </w:pPr>
            <w:r w:rsidRPr="00E62844">
              <w:rPr>
                <w:u w:val="single"/>
              </w:rPr>
              <w:t>Genre</w:t>
            </w:r>
          </w:p>
          <w:p w:rsidR="00161699" w:rsidRDefault="00E62844" w:rsidP="00D96D4D">
            <w:r>
              <w:t xml:space="preserve">Diskuter med klassen hvilken genre filmen er (drama, </w:t>
            </w:r>
            <w:proofErr w:type="spellStart"/>
            <w:r w:rsidRPr="00B650D7">
              <w:t>comedy</w:t>
            </w:r>
            <w:proofErr w:type="spellEnd"/>
            <w:r w:rsidR="002560A7" w:rsidRPr="00B650D7">
              <w:t xml:space="preserve">, </w:t>
            </w:r>
            <w:proofErr w:type="spellStart"/>
            <w:r w:rsidR="00CF5A6E" w:rsidRPr="00B650D7">
              <w:t>tragedy</w:t>
            </w:r>
            <w:proofErr w:type="spellEnd"/>
            <w:r>
              <w:t xml:space="preserve">?) og lad eleverne finde </w:t>
            </w:r>
            <w:r w:rsidR="002560A7">
              <w:t xml:space="preserve">genredefinition på nettet og lad dem finde </w:t>
            </w:r>
            <w:r>
              <w:t>eksempler fra filmen der underbygger deres genreanalyse.</w:t>
            </w:r>
          </w:p>
          <w:p w:rsidR="00786382" w:rsidRDefault="00DA696F" w:rsidP="00D96D4D">
            <w:pPr>
              <w:pStyle w:val="Overskrift1"/>
              <w:spacing w:before="240"/>
              <w:outlineLvl w:val="0"/>
              <w:rPr>
                <w:rFonts w:ascii="Calibri" w:eastAsia="Calibri" w:hAnsi="Calibri" w:cs="Calibri"/>
                <w:color w:val="000066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66"/>
                <w:sz w:val="32"/>
                <w:szCs w:val="32"/>
              </w:rPr>
              <w:t>Supplerende materialer</w:t>
            </w:r>
          </w:p>
          <w:p w:rsidR="00786382" w:rsidRDefault="00DA696F" w:rsidP="00D96D4D">
            <w:r>
              <w:t>Følgende er forslag til supplerende materialer, der evt. kan lånes på dit lokale CFU.</w:t>
            </w:r>
            <w:r w:rsidR="00795CE4">
              <w:t xml:space="preserve"> Materialet er inddelt efter de temaer der er foreslået ovenfor.</w:t>
            </w:r>
          </w:p>
          <w:p w:rsidR="00E62844" w:rsidRPr="00795CE4" w:rsidRDefault="00E62844" w:rsidP="00D96D4D"/>
          <w:p w:rsidR="00E62844" w:rsidRPr="002560A7" w:rsidRDefault="00E62844" w:rsidP="007B458B">
            <w:pPr>
              <w:ind w:left="170" w:hanging="170"/>
            </w:pPr>
            <w:proofErr w:type="spellStart"/>
            <w:r w:rsidRPr="000178D0">
              <w:rPr>
                <w:b/>
              </w:rPr>
              <w:t>Comedy</w:t>
            </w:r>
            <w:proofErr w:type="spellEnd"/>
            <w:r w:rsidRPr="002560A7">
              <w:t>:</w:t>
            </w:r>
            <w:r w:rsidR="002560A7" w:rsidRPr="002560A7">
              <w:t xml:space="preserve"> Da Sharon mødte Rob</w:t>
            </w:r>
            <w:r w:rsidR="002560A7">
              <w:t>,</w:t>
            </w:r>
            <w:r w:rsidR="002560A7" w:rsidRPr="002560A7">
              <w:t xml:space="preserve"> </w:t>
            </w:r>
            <w:hyperlink r:id="rId11" w:history="1">
              <w:r w:rsidR="002560A7" w:rsidRPr="002560A7">
                <w:rPr>
                  <w:rStyle w:val="Hyperlink"/>
                </w:rPr>
                <w:t>http://via.mitcfu.dk/TV0000034481</w:t>
              </w:r>
            </w:hyperlink>
            <w:r w:rsidR="002560A7" w:rsidRPr="002560A7">
              <w:t xml:space="preserve"> (</w:t>
            </w:r>
            <w:r w:rsidR="002560A7">
              <w:t xml:space="preserve">engelsk </w:t>
            </w:r>
            <w:r w:rsidR="002560A7" w:rsidRPr="002560A7">
              <w:t>serie med korte afsnit)</w:t>
            </w:r>
          </w:p>
          <w:p w:rsidR="00E62844" w:rsidRPr="002560A7" w:rsidRDefault="00E62844" w:rsidP="007B458B">
            <w:pPr>
              <w:ind w:left="170" w:hanging="170"/>
            </w:pPr>
            <w:r w:rsidRPr="007B458B">
              <w:rPr>
                <w:b/>
              </w:rPr>
              <w:t>Crime</w:t>
            </w:r>
            <w:r w:rsidRPr="002560A7">
              <w:t>:</w:t>
            </w:r>
            <w:r w:rsidR="002560A7" w:rsidRPr="002560A7">
              <w:t xml:space="preserve"> De forsvundne piger I Canada, </w:t>
            </w:r>
            <w:hyperlink r:id="rId12" w:history="1">
              <w:r w:rsidR="002560A7" w:rsidRPr="003825A6">
                <w:rPr>
                  <w:rStyle w:val="Hyperlink"/>
                </w:rPr>
                <w:t>http://via.mitcfu.dk/TV0000115485</w:t>
              </w:r>
            </w:hyperlink>
            <w:r w:rsidR="002560A7">
              <w:t xml:space="preserve"> (</w:t>
            </w:r>
            <w:r w:rsidR="00D96D4D">
              <w:t xml:space="preserve">amerikansk </w:t>
            </w:r>
            <w:r w:rsidR="002560A7">
              <w:t>dokumentar)</w:t>
            </w:r>
          </w:p>
          <w:p w:rsidR="00E62844" w:rsidRPr="00D96D4D" w:rsidRDefault="00E62844" w:rsidP="007B458B">
            <w:pPr>
              <w:ind w:left="170" w:hanging="170"/>
            </w:pPr>
            <w:proofErr w:type="spellStart"/>
            <w:r w:rsidRPr="00B650D7">
              <w:rPr>
                <w:b/>
              </w:rPr>
              <w:t>Gender</w:t>
            </w:r>
            <w:proofErr w:type="spellEnd"/>
            <w:r w:rsidRPr="00B650D7">
              <w:rPr>
                <w:b/>
              </w:rPr>
              <w:t xml:space="preserve"> </w:t>
            </w:r>
            <w:proofErr w:type="spellStart"/>
            <w:r w:rsidRPr="00B650D7">
              <w:rPr>
                <w:b/>
              </w:rPr>
              <w:t>Issues</w:t>
            </w:r>
            <w:proofErr w:type="spellEnd"/>
            <w:r w:rsidRPr="00D96D4D">
              <w:t>:</w:t>
            </w:r>
            <w:r w:rsidR="002560A7" w:rsidRPr="00D96D4D">
              <w:t xml:space="preserve"> </w:t>
            </w:r>
            <w:r w:rsidR="00D96D4D" w:rsidRPr="00D96D4D">
              <w:t xml:space="preserve">Mænd I krig mod kvinder, </w:t>
            </w:r>
            <w:hyperlink r:id="rId13" w:history="1">
              <w:r w:rsidR="00D96D4D" w:rsidRPr="003825A6">
                <w:rPr>
                  <w:rStyle w:val="Hyperlink"/>
                </w:rPr>
                <w:t>http://via.mitcfu.dk/TV0000111341</w:t>
              </w:r>
            </w:hyperlink>
            <w:r w:rsidR="00D96D4D">
              <w:t xml:space="preserve"> (engelsk dokumentar)</w:t>
            </w:r>
          </w:p>
          <w:p w:rsidR="00E62844" w:rsidRDefault="00E62844" w:rsidP="007B458B">
            <w:pPr>
              <w:ind w:left="170" w:hanging="142"/>
              <w:rPr>
                <w:lang w:val="en-US"/>
              </w:rPr>
            </w:pPr>
            <w:r w:rsidRPr="007B458B">
              <w:rPr>
                <w:b/>
                <w:lang w:val="en-US"/>
              </w:rPr>
              <w:t>Powerful Women/#</w:t>
            </w:r>
            <w:proofErr w:type="spellStart"/>
            <w:r w:rsidRPr="007B458B">
              <w:rPr>
                <w:b/>
                <w:lang w:val="en-US"/>
              </w:rPr>
              <w:t>meeToo</w:t>
            </w:r>
            <w:proofErr w:type="spellEnd"/>
            <w:r>
              <w:rPr>
                <w:lang w:val="en-US"/>
              </w:rPr>
              <w:t xml:space="preserve">: </w:t>
            </w:r>
            <w:r w:rsidR="00D96D4D" w:rsidRPr="00D96D4D">
              <w:rPr>
                <w:lang w:val="en-US"/>
              </w:rPr>
              <w:t>Dissenting Opinion - an interview with Ruth Bader Ginsburg</w:t>
            </w:r>
            <w:r w:rsidR="00D96D4D">
              <w:rPr>
                <w:lang w:val="en-US"/>
              </w:rPr>
              <w:t xml:space="preserve">, </w:t>
            </w:r>
            <w:hyperlink r:id="rId14" w:history="1">
              <w:r w:rsidR="002560A7" w:rsidRPr="003825A6">
                <w:rPr>
                  <w:rStyle w:val="Hyperlink"/>
                  <w:lang w:val="en-US"/>
                </w:rPr>
                <w:t>http://via.mitcfu.dk/TV0000119122</w:t>
              </w:r>
            </w:hyperlink>
            <w:r w:rsidR="002560A7">
              <w:rPr>
                <w:lang w:val="en-US"/>
              </w:rPr>
              <w:t xml:space="preserve"> </w:t>
            </w:r>
          </w:p>
          <w:p w:rsidR="00D96D4D" w:rsidRDefault="00D96D4D" w:rsidP="007B458B">
            <w:pPr>
              <w:ind w:left="170"/>
              <w:rPr>
                <w:lang w:val="en-US"/>
              </w:rPr>
            </w:pPr>
            <w:r>
              <w:rPr>
                <w:lang w:val="en-US"/>
              </w:rPr>
              <w:t xml:space="preserve">On the Basis of Sex, </w:t>
            </w:r>
            <w:hyperlink r:id="rId15" w:history="1">
              <w:r w:rsidRPr="003825A6">
                <w:rPr>
                  <w:rStyle w:val="Hyperlink"/>
                  <w:lang w:val="en-US"/>
                </w:rPr>
                <w:t>http://via.mitcfu.dk/CFUFILM1111117</w:t>
              </w:r>
            </w:hyperlink>
            <w:r>
              <w:rPr>
                <w:lang w:val="en-US"/>
              </w:rPr>
              <w:t xml:space="preserve"> (film om Ruth Bader-Ginsberg)</w:t>
            </w:r>
          </w:p>
          <w:p w:rsidR="00D96D4D" w:rsidRPr="00D96D4D" w:rsidRDefault="00D96D4D" w:rsidP="00D96D4D">
            <w:proofErr w:type="spellStart"/>
            <w:r w:rsidRPr="00B650D7">
              <w:rPr>
                <w:b/>
              </w:rPr>
              <w:t>Racism</w:t>
            </w:r>
            <w:proofErr w:type="spellEnd"/>
            <w:r w:rsidRPr="00D96D4D">
              <w:t xml:space="preserve">: De sorte I </w:t>
            </w:r>
            <w:r>
              <w:t>Milwaukee</w:t>
            </w:r>
            <w:r w:rsidRPr="00D96D4D">
              <w:t xml:space="preserve">, </w:t>
            </w:r>
            <w:hyperlink r:id="rId16" w:history="1">
              <w:r w:rsidRPr="003825A6">
                <w:rPr>
                  <w:rStyle w:val="Hyperlink"/>
                </w:rPr>
                <w:t>http://via.mitcfu.dk/TV0000118824</w:t>
              </w:r>
            </w:hyperlink>
            <w:r>
              <w:t xml:space="preserve"> (dokumentar)</w:t>
            </w:r>
          </w:p>
          <w:p w:rsidR="00DD491B" w:rsidRDefault="000102AE" w:rsidP="00D96D4D">
            <w:pPr>
              <w:rPr>
                <w:lang w:val="en-US"/>
              </w:rPr>
            </w:pPr>
            <w:r w:rsidRPr="007B458B">
              <w:rPr>
                <w:b/>
                <w:lang w:val="en-US"/>
              </w:rPr>
              <w:t>Revenge</w:t>
            </w:r>
            <w:r w:rsidRPr="000102AE">
              <w:rPr>
                <w:lang w:val="en-US"/>
              </w:rPr>
              <w:t>: The Revenant</w:t>
            </w:r>
            <w:r>
              <w:rPr>
                <w:lang w:val="en-US"/>
              </w:rPr>
              <w:t xml:space="preserve">, </w:t>
            </w:r>
            <w:r w:rsidRPr="000102AE">
              <w:rPr>
                <w:lang w:val="en-US"/>
              </w:rPr>
              <w:t xml:space="preserve"> </w:t>
            </w:r>
            <w:hyperlink r:id="rId17" w:history="1">
              <w:r w:rsidRPr="000102AE">
                <w:rPr>
                  <w:rStyle w:val="Hyperlink"/>
                  <w:lang w:val="en-US"/>
                </w:rPr>
                <w:t>http://via.mitcfu.dk/CFUFILM1075890</w:t>
              </w:r>
            </w:hyperlink>
            <w:r w:rsidRPr="000102AE">
              <w:rPr>
                <w:lang w:val="en-US"/>
              </w:rPr>
              <w:t xml:space="preserve"> </w:t>
            </w:r>
            <w:r w:rsidR="002560A7">
              <w:rPr>
                <w:lang w:val="en-US"/>
              </w:rPr>
              <w:t>(film)</w:t>
            </w:r>
          </w:p>
          <w:p w:rsidR="00E62844" w:rsidRPr="007B458B" w:rsidRDefault="00E62844" w:rsidP="007B458B">
            <w:pPr>
              <w:ind w:left="312" w:hanging="284"/>
            </w:pPr>
            <w:proofErr w:type="spellStart"/>
            <w:r w:rsidRPr="00B650D7">
              <w:rPr>
                <w:b/>
              </w:rPr>
              <w:t>Vigilantism</w:t>
            </w:r>
            <w:proofErr w:type="spellEnd"/>
            <w:r w:rsidRPr="00B650D7">
              <w:rPr>
                <w:b/>
              </w:rPr>
              <w:t>:</w:t>
            </w:r>
            <w:r w:rsidR="007B458B" w:rsidRPr="007B458B">
              <w:t xml:space="preserve"> Man skyder da flygtninge, </w:t>
            </w:r>
            <w:hyperlink r:id="rId18" w:history="1">
              <w:r w:rsidR="007B458B" w:rsidRPr="007B458B">
                <w:rPr>
                  <w:rStyle w:val="Hyperlink"/>
                </w:rPr>
                <w:t>http://via.mitcfu.dk/TV0000012998</w:t>
              </w:r>
            </w:hyperlink>
            <w:r w:rsidR="007B458B" w:rsidRPr="007B458B">
              <w:t xml:space="preserve"> </w:t>
            </w:r>
            <w:r w:rsidR="007B458B">
              <w:t xml:space="preserve"> (amerikansk dokumentar)</w:t>
            </w:r>
          </w:p>
          <w:p w:rsidR="00786382" w:rsidRPr="007B458B" w:rsidRDefault="00E62844" w:rsidP="000178D0">
            <w:pPr>
              <w:ind w:left="312" w:hanging="284"/>
            </w:pPr>
            <w:proofErr w:type="spellStart"/>
            <w:r w:rsidRPr="000178D0">
              <w:rPr>
                <w:b/>
              </w:rPr>
              <w:t>Violence</w:t>
            </w:r>
            <w:proofErr w:type="spellEnd"/>
            <w:r w:rsidR="007B458B" w:rsidRPr="000178D0">
              <w:rPr>
                <w:b/>
              </w:rPr>
              <w:t xml:space="preserve">/ </w:t>
            </w:r>
            <w:proofErr w:type="spellStart"/>
            <w:r w:rsidR="007B458B" w:rsidRPr="000178D0">
              <w:rPr>
                <w:b/>
              </w:rPr>
              <w:t>homophobia</w:t>
            </w:r>
            <w:proofErr w:type="spellEnd"/>
            <w:r w:rsidRPr="007B458B">
              <w:t>:</w:t>
            </w:r>
            <w:r w:rsidR="007B458B">
              <w:t xml:space="preserve"> </w:t>
            </w:r>
            <w:r w:rsidR="007B458B" w:rsidRPr="007B458B">
              <w:t xml:space="preserve">Det dybe syden, </w:t>
            </w:r>
            <w:r w:rsidR="00D96D4D" w:rsidRPr="007B458B">
              <w:t xml:space="preserve"> </w:t>
            </w:r>
            <w:hyperlink r:id="rId19" w:history="1">
              <w:r w:rsidR="007B458B" w:rsidRPr="007B458B">
                <w:rPr>
                  <w:rStyle w:val="Hyperlink"/>
                </w:rPr>
                <w:t>http://via.mitcfu.dk/TV0000112618</w:t>
              </w:r>
            </w:hyperlink>
            <w:r w:rsidR="007B458B" w:rsidRPr="007B458B">
              <w:t xml:space="preserve"> </w:t>
            </w:r>
            <w:r w:rsidR="007B458B">
              <w:t>(Amerikansk dokumentar)</w:t>
            </w:r>
          </w:p>
        </w:tc>
      </w:tr>
    </w:tbl>
    <w:p w:rsidR="00786382" w:rsidRPr="007B458B" w:rsidRDefault="00786382"/>
    <w:sectPr w:rsidR="00786382" w:rsidRPr="007B458B">
      <w:headerReference w:type="default" r:id="rId20"/>
      <w:footerReference w:type="default" r:id="rId21"/>
      <w:pgSz w:w="11906" w:h="16838"/>
      <w:pgMar w:top="1605" w:right="1134" w:bottom="1135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BFF" w:rsidRDefault="00701BFF">
      <w:pPr>
        <w:spacing w:after="0"/>
      </w:pPr>
      <w:r>
        <w:separator/>
      </w:r>
    </w:p>
  </w:endnote>
  <w:endnote w:type="continuationSeparator" w:id="0">
    <w:p w:rsidR="00701BFF" w:rsidRDefault="00701B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382" w:rsidRDefault="00701B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  <w:r>
      <w:pict>
        <v:rect id="_x0000_i1026" style="width:0;height:1.5pt" o:hralign="center" o:hrstd="t" o:hr="t" fillcolor="#a0a0a0" stroked="f"/>
      </w:pict>
    </w:r>
  </w:p>
  <w:p w:rsidR="006033B7" w:rsidRDefault="006033B7" w:rsidP="006033B7">
    <w:pPr>
      <w:tabs>
        <w:tab w:val="center" w:pos="4819"/>
        <w:tab w:val="right" w:pos="9638"/>
      </w:tabs>
      <w:spacing w:after="0"/>
      <w:rPr>
        <w:sz w:val="20"/>
        <w:szCs w:val="20"/>
      </w:rPr>
    </w:pPr>
    <w:r>
      <w:rPr>
        <w:sz w:val="18"/>
        <w:szCs w:val="18"/>
      </w:rPr>
      <w:t>Udarbejdet af Rikke Fjellerup cand. mag., VIA CFU, måned år</w:t>
    </w:r>
  </w:p>
  <w:p w:rsidR="00786382" w:rsidRPr="00CF5A6E" w:rsidRDefault="006033B7" w:rsidP="006033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</w:pPr>
    <w:r w:rsidRPr="00CF5A6E">
      <w:rPr>
        <w:sz w:val="18"/>
        <w:szCs w:val="18"/>
      </w:rPr>
      <w:t>’</w:t>
    </w:r>
    <w:r w:rsidR="00CF5A6E" w:rsidRPr="00CF5A6E">
      <w:rPr>
        <w:sz w:val="18"/>
        <w:szCs w:val="18"/>
      </w:rPr>
      <w:t xml:space="preserve">Pædagogisk vejledning til </w:t>
    </w:r>
    <w:r w:rsidRPr="00B650D7">
      <w:rPr>
        <w:sz w:val="18"/>
        <w:szCs w:val="18"/>
      </w:rPr>
      <w:t xml:space="preserve">Three </w:t>
    </w:r>
    <w:proofErr w:type="spellStart"/>
    <w:r w:rsidRPr="00B650D7">
      <w:rPr>
        <w:sz w:val="18"/>
        <w:szCs w:val="18"/>
      </w:rPr>
      <w:t>Billboards</w:t>
    </w:r>
    <w:proofErr w:type="spellEnd"/>
    <w:r w:rsidRPr="00B650D7">
      <w:rPr>
        <w:sz w:val="18"/>
        <w:szCs w:val="18"/>
      </w:rPr>
      <w:t xml:space="preserve"> </w:t>
    </w:r>
    <w:proofErr w:type="spellStart"/>
    <w:r w:rsidRPr="00B650D7">
      <w:rPr>
        <w:sz w:val="18"/>
        <w:szCs w:val="18"/>
      </w:rPr>
      <w:t>Outside</w:t>
    </w:r>
    <w:proofErr w:type="spellEnd"/>
    <w:r w:rsidRPr="00B650D7">
      <w:rPr>
        <w:sz w:val="18"/>
        <w:szCs w:val="18"/>
      </w:rPr>
      <w:t xml:space="preserve"> </w:t>
    </w:r>
    <w:proofErr w:type="spellStart"/>
    <w:r w:rsidRPr="00B650D7">
      <w:rPr>
        <w:sz w:val="18"/>
        <w:szCs w:val="18"/>
      </w:rPr>
      <w:t>Ebbing</w:t>
    </w:r>
    <w:proofErr w:type="spellEnd"/>
    <w:r w:rsidRPr="00B650D7">
      <w:rPr>
        <w:sz w:val="18"/>
        <w:szCs w:val="18"/>
      </w:rPr>
      <w:t>, Missouri’</w:t>
    </w:r>
    <w:r w:rsidRPr="00CF5A6E">
      <w:rPr>
        <w:sz w:val="18"/>
        <w:szCs w:val="18"/>
      </w:rPr>
      <w:t>, Gymnasiet</w:t>
    </w:r>
    <w:r w:rsidR="00CF5A6E">
      <w:rPr>
        <w:sz w:val="18"/>
        <w:szCs w:val="18"/>
      </w:rPr>
      <w:t>.</w:t>
    </w:r>
    <w:r w:rsidR="00DA696F" w:rsidRPr="00CF5A6E">
      <w:tab/>
    </w:r>
    <w:r w:rsidR="00DA696F" w:rsidRPr="00CF5A6E">
      <w:tab/>
    </w:r>
    <w:r w:rsidR="00DA696F">
      <w:rPr>
        <w:noProof/>
        <w:lang w:val="en-US"/>
      </w:rPr>
      <w:drawing>
        <wp:inline distT="114300" distB="114300" distL="114300" distR="114300">
          <wp:extent cx="533400" cy="104775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10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86382" w:rsidRDefault="00DA69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18"/>
      <w:jc w:val="right"/>
    </w:pPr>
    <w:r>
      <w:fldChar w:fldCharType="begin"/>
    </w:r>
    <w:r>
      <w:instrText>PAGE</w:instrText>
    </w:r>
    <w:r>
      <w:fldChar w:fldCharType="separate"/>
    </w:r>
    <w:r w:rsidR="00BB6A8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BFF" w:rsidRDefault="00701BFF">
      <w:pPr>
        <w:spacing w:after="0"/>
      </w:pPr>
      <w:r>
        <w:separator/>
      </w:r>
    </w:p>
  </w:footnote>
  <w:footnote w:type="continuationSeparator" w:id="0">
    <w:p w:rsidR="00701BFF" w:rsidRDefault="00701B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382" w:rsidRDefault="00DA696F">
    <w:pPr>
      <w:pBdr>
        <w:top w:val="nil"/>
        <w:left w:val="nil"/>
        <w:bottom w:val="nil"/>
        <w:right w:val="nil"/>
        <w:between w:val="nil"/>
      </w:pBdr>
      <w:tabs>
        <w:tab w:val="center" w:pos="0"/>
        <w:tab w:val="left" w:pos="4260"/>
      </w:tabs>
      <w:spacing w:before="708" w:after="0"/>
      <w:ind w:left="720" w:right="5"/>
      <w:jc w:val="right"/>
      <w:rPr>
        <w:color w:val="0000FF"/>
        <w:u w:val="single"/>
      </w:rPr>
    </w:pPr>
    <w:r>
      <w:rPr>
        <w:b/>
        <w:color w:val="000000"/>
      </w:rPr>
      <w:tab/>
    </w:r>
    <w:r>
      <w:rPr>
        <w:b/>
        <w:color w:val="000000"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color w:val="000000"/>
      </w:rPr>
      <w:t>Pædagogisk</w:t>
    </w:r>
    <w:r>
      <w:t xml:space="preserve"> vejledning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hyperlink r:id="rId1" w:history="1">
      <w:r w:rsidR="00D75DCE" w:rsidRPr="00D75DCE">
        <w:rPr>
          <w:rStyle w:val="Hyperlink"/>
        </w:rPr>
        <w:t>http://via.mitcfu.dk/CFUFILM1075897</w:t>
      </w:r>
      <w:r w:rsidRPr="00D75DCE">
        <w:rPr>
          <w:rStyle w:val="Hyperlink"/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123825</wp:posOffset>
            </wp:positionH>
            <wp:positionV relativeFrom="paragraph">
              <wp:posOffset>342900</wp:posOffset>
            </wp:positionV>
            <wp:extent cx="2418398" cy="390525"/>
            <wp:effectExtent l="0" t="0" r="0" b="0"/>
            <wp:wrapSquare wrapText="bothSides" distT="0" distB="0" distL="114300" distR="114300"/>
            <wp:docPr id="2" name="image1.jpg" descr="N:\Adm\CFU\Kommunikation\CFU Danmark\Logoer\Logo - CFU\Logo - tekst høj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N:\Adm\CFU\Kommunikation\CFU Danmark\Logoer\Logo - CFU\Logo - tekst højre.jp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8398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hyperlink>
    <w:r w:rsidR="00D75DCE">
      <w:t xml:space="preserve"> </w:t>
    </w:r>
  </w:p>
  <w:p w:rsidR="00786382" w:rsidRDefault="00701B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right"/>
      <w:rPr>
        <w:color w:val="000000"/>
      </w:rPr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9CCA67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396734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1F0E3F"/>
    <w:multiLevelType w:val="hybridMultilevel"/>
    <w:tmpl w:val="758AA7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91693"/>
    <w:multiLevelType w:val="hybridMultilevel"/>
    <w:tmpl w:val="9948E9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B1C16"/>
    <w:multiLevelType w:val="hybridMultilevel"/>
    <w:tmpl w:val="46A46704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C72D3"/>
    <w:multiLevelType w:val="hybridMultilevel"/>
    <w:tmpl w:val="D36C86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25920"/>
    <w:multiLevelType w:val="hybridMultilevel"/>
    <w:tmpl w:val="E604BBD6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6037FA"/>
    <w:multiLevelType w:val="hybridMultilevel"/>
    <w:tmpl w:val="4EA806B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82"/>
    <w:rsid w:val="000102AE"/>
    <w:rsid w:val="000178D0"/>
    <w:rsid w:val="000D194C"/>
    <w:rsid w:val="00161699"/>
    <w:rsid w:val="002560A7"/>
    <w:rsid w:val="004F2D35"/>
    <w:rsid w:val="005069B1"/>
    <w:rsid w:val="00516EA2"/>
    <w:rsid w:val="006033B7"/>
    <w:rsid w:val="00701BFF"/>
    <w:rsid w:val="00733E7E"/>
    <w:rsid w:val="00786382"/>
    <w:rsid w:val="007946F1"/>
    <w:rsid w:val="00795CE4"/>
    <w:rsid w:val="007B458B"/>
    <w:rsid w:val="007C6BEF"/>
    <w:rsid w:val="00813568"/>
    <w:rsid w:val="00815B87"/>
    <w:rsid w:val="0095023B"/>
    <w:rsid w:val="00AD0C96"/>
    <w:rsid w:val="00B650D7"/>
    <w:rsid w:val="00BB39D6"/>
    <w:rsid w:val="00BB6A83"/>
    <w:rsid w:val="00BF5387"/>
    <w:rsid w:val="00C94987"/>
    <w:rsid w:val="00CF5A6E"/>
    <w:rsid w:val="00D103FD"/>
    <w:rsid w:val="00D2276F"/>
    <w:rsid w:val="00D22C5E"/>
    <w:rsid w:val="00D4637D"/>
    <w:rsid w:val="00D75DCE"/>
    <w:rsid w:val="00D803A7"/>
    <w:rsid w:val="00D96D4D"/>
    <w:rsid w:val="00DA696F"/>
    <w:rsid w:val="00DD491B"/>
    <w:rsid w:val="00E62844"/>
    <w:rsid w:val="00EF5666"/>
    <w:rsid w:val="00F7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0B050"/>
  <w15:docId w15:val="{396E399F-55AF-4632-8FB3-234DA41C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a-DK" w:eastAsia="en-US" w:bidi="ar-SA"/>
      </w:rPr>
    </w:rPrDefault>
    <w:pPrDefault>
      <w:pPr>
        <w:widowControl w:val="0"/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6033B7"/>
    <w:pPr>
      <w:tabs>
        <w:tab w:val="center" w:pos="4986"/>
        <w:tab w:val="right" w:pos="9972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6033B7"/>
  </w:style>
  <w:style w:type="paragraph" w:styleId="Sidefod">
    <w:name w:val="footer"/>
    <w:basedOn w:val="Normal"/>
    <w:link w:val="SidefodTegn"/>
    <w:uiPriority w:val="99"/>
    <w:unhideWhenUsed/>
    <w:rsid w:val="006033B7"/>
    <w:pPr>
      <w:tabs>
        <w:tab w:val="center" w:pos="4986"/>
        <w:tab w:val="right" w:pos="9972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6033B7"/>
  </w:style>
  <w:style w:type="character" w:styleId="Hyperlink">
    <w:name w:val="Hyperlink"/>
    <w:basedOn w:val="Standardskrifttypeiafsnit"/>
    <w:uiPriority w:val="99"/>
    <w:unhideWhenUsed/>
    <w:rsid w:val="00D75DCE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D75DCE"/>
    <w:rPr>
      <w:color w:val="800080" w:themeColor="followedHyperlink"/>
      <w:u w:val="single"/>
    </w:rPr>
  </w:style>
  <w:style w:type="paragraph" w:styleId="Opstilling-punkttegn">
    <w:name w:val="List Bullet"/>
    <w:basedOn w:val="Normal"/>
    <w:uiPriority w:val="99"/>
    <w:unhideWhenUsed/>
    <w:rsid w:val="00813568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unhideWhenUsed/>
    <w:rsid w:val="00BF5387"/>
    <w:pPr>
      <w:numPr>
        <w:numId w:val="2"/>
      </w:numPr>
      <w:contextualSpacing/>
    </w:pPr>
  </w:style>
  <w:style w:type="paragraph" w:styleId="Listeafsnit">
    <w:name w:val="List Paragraph"/>
    <w:basedOn w:val="Normal"/>
    <w:uiPriority w:val="34"/>
    <w:qFormat/>
    <w:rsid w:val="00BF5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via.mitcfu.dk/TV0000111341" TargetMode="External"/><Relationship Id="rId18" Type="http://schemas.openxmlformats.org/officeDocument/2006/relationships/hyperlink" Target="http://via.mitcfu.dk/TV0000012998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via.mitcfu.dk/TV0000115485" TargetMode="External"/><Relationship Id="rId17" Type="http://schemas.openxmlformats.org/officeDocument/2006/relationships/hyperlink" Target="http://via.mitcfu.dk/CFUFILM10758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ia.mitcfu.dk/TV000011882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a.mitcfu.dk/TV00000344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ia.mitcfu.dk/CFUFILM1111117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via.mitcfu.dk/TV000011261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://via.mitcfu.dk/TV0000119122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hyperlink" Target="http://via.mitcfu.dk/CFUFILM10758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F4351-2937-4BB0-BAB4-F64FAB42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 Fjellerup (RIKF) | VIA</dc:creator>
  <cp:lastModifiedBy>Rikke Fjellerup (RIKF) | VIA</cp:lastModifiedBy>
  <cp:revision>21</cp:revision>
  <dcterms:created xsi:type="dcterms:W3CDTF">2019-09-23T11:22:00Z</dcterms:created>
  <dcterms:modified xsi:type="dcterms:W3CDTF">2020-04-30T06:27:00Z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