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7BCFD3CC" w14:textId="77777777" w:rsidR="00D40FA1" w:rsidRDefault="00A70DF1">
      <w:r>
        <w:rPr>
          <w:noProof/>
        </w:rPr>
        <mc:AlternateContent>
          <mc:Choice Requires="wpg">
            <w:drawing>
              <wp:anchor distT="0" distB="0" distL="114300" distR="114300" simplePos="0" relativeHeight="251658240" behindDoc="0" locked="0" layoutInCell="1" hidden="0" allowOverlap="1" wp14:anchorId="33D0F6DE" wp14:editId="729B615C">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5E605E2E" w14:textId="77777777" w:rsidR="00D40FA1" w:rsidRDefault="00D40FA1">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5048250</wp:posOffset>
                </wp:positionH>
                <wp:positionV relativeFrom="paragraph">
                  <wp:posOffset>66675</wp:posOffset>
                </wp:positionV>
                <wp:extent cx="927100" cy="8001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927100" cy="800100"/>
                        </a:xfrm>
                        <a:prstGeom prst="rect"/>
                        <a:ln/>
                      </pic:spPr>
                    </pic:pic>
                  </a:graphicData>
                </a:graphic>
              </wp:anchor>
            </w:drawing>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D40FA1" w14:paraId="036F211D" w14:textId="77777777">
        <w:trPr>
          <w:trHeight w:val="200"/>
        </w:trPr>
        <w:tc>
          <w:tcPr>
            <w:tcW w:w="1555" w:type="dxa"/>
          </w:tcPr>
          <w:p w14:paraId="6EFD2A2C" w14:textId="77777777" w:rsidR="00D40FA1" w:rsidRDefault="00A70DF1">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0147DDF0" w14:textId="21871EDC" w:rsidR="00D40FA1" w:rsidRDefault="00A70DF1">
            <w:pPr>
              <w:pBdr>
                <w:top w:val="nil"/>
                <w:left w:val="nil"/>
                <w:bottom w:val="nil"/>
                <w:right w:val="nil"/>
                <w:between w:val="nil"/>
              </w:pBdr>
              <w:rPr>
                <w:b/>
                <w:color w:val="000000"/>
                <w:sz w:val="32"/>
                <w:szCs w:val="32"/>
              </w:rPr>
            </w:pPr>
            <w:r>
              <w:rPr>
                <w:b/>
                <w:sz w:val="32"/>
                <w:szCs w:val="32"/>
              </w:rPr>
              <w:t>Pirates - Topic Box</w:t>
            </w:r>
          </w:p>
        </w:tc>
        <w:tc>
          <w:tcPr>
            <w:tcW w:w="2262" w:type="dxa"/>
            <w:vMerge w:val="restart"/>
          </w:tcPr>
          <w:p w14:paraId="3D19EEB8" w14:textId="57B7B297" w:rsidR="00D40FA1" w:rsidRDefault="00B30B65">
            <w:pPr>
              <w:pBdr>
                <w:top w:val="nil"/>
                <w:left w:val="nil"/>
                <w:bottom w:val="nil"/>
                <w:right w:val="nil"/>
                <w:between w:val="nil"/>
              </w:pBdr>
              <w:rPr>
                <w:color w:val="000000"/>
              </w:rPr>
            </w:pPr>
            <w:r w:rsidRPr="00B30B65">
              <w:rPr>
                <w:b/>
                <w:noProof/>
                <w:sz w:val="32"/>
                <w:szCs w:val="32"/>
              </w:rPr>
              <w:drawing>
                <wp:anchor distT="0" distB="0" distL="114300" distR="114300" simplePos="0" relativeHeight="251659264" behindDoc="0" locked="0" layoutInCell="1" allowOverlap="1" wp14:anchorId="4509395C" wp14:editId="4BBD03FE">
                  <wp:simplePos x="0" y="0"/>
                  <wp:positionH relativeFrom="column">
                    <wp:posOffset>-154819</wp:posOffset>
                  </wp:positionH>
                  <wp:positionV relativeFrom="paragraph">
                    <wp:posOffset>-288290</wp:posOffset>
                  </wp:positionV>
                  <wp:extent cx="1524000" cy="1032387"/>
                  <wp:effectExtent l="0" t="0" r="0" b="0"/>
                  <wp:wrapNone/>
                  <wp:docPr id="4" name="Billede 4"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K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32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7DAF8" w14:textId="77777777" w:rsidR="00D40FA1" w:rsidRDefault="00D40FA1">
            <w:pPr>
              <w:pBdr>
                <w:top w:val="nil"/>
                <w:left w:val="nil"/>
                <w:bottom w:val="nil"/>
                <w:right w:val="nil"/>
                <w:between w:val="nil"/>
              </w:pBdr>
              <w:rPr>
                <w:color w:val="000000"/>
              </w:rPr>
            </w:pPr>
          </w:p>
          <w:p w14:paraId="27C81E08" w14:textId="77777777" w:rsidR="00D40FA1" w:rsidRDefault="00D40FA1">
            <w:pPr>
              <w:pBdr>
                <w:top w:val="nil"/>
                <w:left w:val="nil"/>
                <w:bottom w:val="nil"/>
                <w:right w:val="nil"/>
                <w:between w:val="nil"/>
              </w:pBdr>
              <w:rPr>
                <w:color w:val="000000"/>
              </w:rPr>
            </w:pPr>
          </w:p>
          <w:p w14:paraId="4334ECC0" w14:textId="77777777" w:rsidR="00D40FA1" w:rsidRDefault="00D40FA1">
            <w:pPr>
              <w:pBdr>
                <w:top w:val="nil"/>
                <w:left w:val="nil"/>
                <w:bottom w:val="nil"/>
                <w:right w:val="nil"/>
                <w:between w:val="nil"/>
              </w:pBdr>
              <w:rPr>
                <w:color w:val="000000"/>
              </w:rPr>
            </w:pPr>
          </w:p>
          <w:p w14:paraId="606B6567" w14:textId="77777777" w:rsidR="00D40FA1" w:rsidRDefault="00D40FA1">
            <w:pPr>
              <w:pBdr>
                <w:top w:val="nil"/>
                <w:left w:val="nil"/>
                <w:bottom w:val="nil"/>
                <w:right w:val="nil"/>
                <w:between w:val="nil"/>
              </w:pBdr>
              <w:rPr>
                <w:color w:val="000000"/>
              </w:rPr>
            </w:pPr>
          </w:p>
          <w:p w14:paraId="131E1097" w14:textId="77777777" w:rsidR="00D40FA1" w:rsidRDefault="00D40FA1">
            <w:pPr>
              <w:pBdr>
                <w:top w:val="nil"/>
                <w:left w:val="nil"/>
                <w:bottom w:val="nil"/>
                <w:right w:val="nil"/>
                <w:between w:val="nil"/>
              </w:pBdr>
              <w:rPr>
                <w:color w:val="000000"/>
              </w:rPr>
            </w:pPr>
          </w:p>
        </w:tc>
      </w:tr>
      <w:tr w:rsidR="00D40FA1" w14:paraId="35CAFE3A" w14:textId="77777777">
        <w:trPr>
          <w:trHeight w:val="200"/>
        </w:trPr>
        <w:tc>
          <w:tcPr>
            <w:tcW w:w="1555" w:type="dxa"/>
          </w:tcPr>
          <w:p w14:paraId="5956081C" w14:textId="77777777" w:rsidR="00D40FA1" w:rsidRDefault="00A70DF1">
            <w:pPr>
              <w:pBdr>
                <w:top w:val="nil"/>
                <w:left w:val="nil"/>
                <w:bottom w:val="nil"/>
                <w:right w:val="nil"/>
                <w:between w:val="nil"/>
              </w:pBdr>
              <w:rPr>
                <w:color w:val="000000"/>
                <w:sz w:val="24"/>
                <w:szCs w:val="24"/>
              </w:rPr>
            </w:pPr>
            <w:r>
              <w:rPr>
                <w:color w:val="000000"/>
                <w:sz w:val="24"/>
                <w:szCs w:val="24"/>
              </w:rPr>
              <w:t>Tema:</w:t>
            </w:r>
          </w:p>
        </w:tc>
        <w:tc>
          <w:tcPr>
            <w:tcW w:w="5811" w:type="dxa"/>
          </w:tcPr>
          <w:p w14:paraId="54820B50" w14:textId="4F56DEDA" w:rsidR="00D40FA1" w:rsidRDefault="00A70DF1">
            <w:pPr>
              <w:pBdr>
                <w:top w:val="nil"/>
                <w:left w:val="nil"/>
                <w:bottom w:val="nil"/>
                <w:right w:val="nil"/>
                <w:between w:val="nil"/>
              </w:pBdr>
              <w:rPr>
                <w:color w:val="000000"/>
                <w:sz w:val="24"/>
                <w:szCs w:val="24"/>
              </w:rPr>
            </w:pPr>
            <w:r>
              <w:rPr>
                <w:sz w:val="24"/>
                <w:szCs w:val="24"/>
              </w:rPr>
              <w:t>Pirates</w:t>
            </w:r>
          </w:p>
        </w:tc>
        <w:tc>
          <w:tcPr>
            <w:tcW w:w="2262" w:type="dxa"/>
            <w:vMerge/>
          </w:tcPr>
          <w:p w14:paraId="1BF8E08B" w14:textId="77777777" w:rsidR="00D40FA1" w:rsidRDefault="00D40FA1">
            <w:pPr>
              <w:pBdr>
                <w:top w:val="nil"/>
                <w:left w:val="nil"/>
                <w:bottom w:val="nil"/>
                <w:right w:val="nil"/>
                <w:between w:val="nil"/>
              </w:pBdr>
              <w:rPr>
                <w:color w:val="000000"/>
              </w:rPr>
            </w:pPr>
          </w:p>
        </w:tc>
      </w:tr>
      <w:tr w:rsidR="00D40FA1" w14:paraId="328ABC93" w14:textId="77777777">
        <w:trPr>
          <w:trHeight w:val="200"/>
        </w:trPr>
        <w:tc>
          <w:tcPr>
            <w:tcW w:w="1555" w:type="dxa"/>
          </w:tcPr>
          <w:p w14:paraId="4787C6B8" w14:textId="77777777" w:rsidR="00D40FA1" w:rsidRDefault="00A70DF1">
            <w:pPr>
              <w:pBdr>
                <w:top w:val="nil"/>
                <w:left w:val="nil"/>
                <w:bottom w:val="nil"/>
                <w:right w:val="nil"/>
                <w:between w:val="nil"/>
              </w:pBdr>
              <w:rPr>
                <w:color w:val="000000"/>
                <w:sz w:val="24"/>
                <w:szCs w:val="24"/>
              </w:rPr>
            </w:pPr>
            <w:r>
              <w:rPr>
                <w:color w:val="000000"/>
                <w:sz w:val="24"/>
                <w:szCs w:val="24"/>
              </w:rPr>
              <w:t xml:space="preserve">Fag:  </w:t>
            </w:r>
          </w:p>
        </w:tc>
        <w:tc>
          <w:tcPr>
            <w:tcW w:w="5811" w:type="dxa"/>
          </w:tcPr>
          <w:p w14:paraId="3EDF5DE8" w14:textId="7B0E1AB3" w:rsidR="00D40FA1" w:rsidRDefault="00A70DF1">
            <w:pPr>
              <w:pBdr>
                <w:top w:val="nil"/>
                <w:left w:val="nil"/>
                <w:bottom w:val="nil"/>
                <w:right w:val="nil"/>
                <w:between w:val="nil"/>
              </w:pBdr>
              <w:rPr>
                <w:color w:val="000000"/>
                <w:sz w:val="24"/>
                <w:szCs w:val="24"/>
              </w:rPr>
            </w:pPr>
            <w:r>
              <w:rPr>
                <w:sz w:val="24"/>
                <w:szCs w:val="24"/>
              </w:rPr>
              <w:t>Engelsk</w:t>
            </w:r>
          </w:p>
        </w:tc>
        <w:tc>
          <w:tcPr>
            <w:tcW w:w="2262" w:type="dxa"/>
            <w:vMerge/>
          </w:tcPr>
          <w:p w14:paraId="1A2257B0" w14:textId="77777777" w:rsidR="00D40FA1" w:rsidRDefault="00D40FA1">
            <w:pPr>
              <w:pBdr>
                <w:top w:val="nil"/>
                <w:left w:val="nil"/>
                <w:bottom w:val="nil"/>
                <w:right w:val="nil"/>
                <w:between w:val="nil"/>
              </w:pBdr>
              <w:rPr>
                <w:color w:val="000000"/>
              </w:rPr>
            </w:pPr>
          </w:p>
        </w:tc>
      </w:tr>
      <w:tr w:rsidR="00D40FA1" w14:paraId="06B859FB" w14:textId="77777777">
        <w:trPr>
          <w:trHeight w:val="160"/>
        </w:trPr>
        <w:tc>
          <w:tcPr>
            <w:tcW w:w="1555" w:type="dxa"/>
          </w:tcPr>
          <w:p w14:paraId="0F7131BE" w14:textId="77777777" w:rsidR="00D40FA1" w:rsidRDefault="00A70DF1">
            <w:pPr>
              <w:pBdr>
                <w:top w:val="nil"/>
                <w:left w:val="nil"/>
                <w:bottom w:val="nil"/>
                <w:right w:val="nil"/>
                <w:between w:val="nil"/>
              </w:pBdr>
              <w:rPr>
                <w:color w:val="000000"/>
                <w:sz w:val="24"/>
                <w:szCs w:val="24"/>
              </w:rPr>
            </w:pPr>
            <w:r>
              <w:rPr>
                <w:color w:val="000000"/>
                <w:sz w:val="24"/>
                <w:szCs w:val="24"/>
              </w:rPr>
              <w:t>Målgruppe:</w:t>
            </w:r>
          </w:p>
        </w:tc>
        <w:tc>
          <w:tcPr>
            <w:tcW w:w="5811" w:type="dxa"/>
          </w:tcPr>
          <w:p w14:paraId="048DED71" w14:textId="276E9801" w:rsidR="00D40FA1" w:rsidRDefault="00A70DF1">
            <w:pPr>
              <w:pBdr>
                <w:top w:val="nil"/>
                <w:left w:val="nil"/>
                <w:bottom w:val="nil"/>
                <w:right w:val="nil"/>
                <w:between w:val="nil"/>
              </w:pBdr>
              <w:rPr>
                <w:color w:val="000000"/>
                <w:sz w:val="24"/>
                <w:szCs w:val="24"/>
              </w:rPr>
            </w:pPr>
            <w:r>
              <w:rPr>
                <w:sz w:val="24"/>
                <w:szCs w:val="24"/>
              </w:rPr>
              <w:t>4.-6. klasse</w:t>
            </w:r>
          </w:p>
        </w:tc>
        <w:tc>
          <w:tcPr>
            <w:tcW w:w="2262" w:type="dxa"/>
            <w:vMerge/>
          </w:tcPr>
          <w:p w14:paraId="53DAA9FE" w14:textId="77777777" w:rsidR="00D40FA1" w:rsidRDefault="00D40FA1">
            <w:pPr>
              <w:pBdr>
                <w:top w:val="nil"/>
                <w:left w:val="nil"/>
                <w:bottom w:val="nil"/>
                <w:right w:val="nil"/>
                <w:between w:val="nil"/>
              </w:pBdr>
              <w:rPr>
                <w:color w:val="000000"/>
              </w:rPr>
            </w:pPr>
          </w:p>
        </w:tc>
      </w:tr>
      <w:tr w:rsidR="00D40FA1" w14:paraId="2FDB8CE1" w14:textId="77777777">
        <w:tc>
          <w:tcPr>
            <w:tcW w:w="1555" w:type="dxa"/>
          </w:tcPr>
          <w:p w14:paraId="6960AA74" w14:textId="77777777" w:rsidR="00D40FA1" w:rsidRDefault="00D40FA1">
            <w:pPr>
              <w:pBdr>
                <w:top w:val="nil"/>
                <w:left w:val="nil"/>
                <w:bottom w:val="nil"/>
                <w:right w:val="nil"/>
                <w:between w:val="nil"/>
              </w:pBdr>
              <w:rPr>
                <w:color w:val="000000"/>
              </w:rPr>
            </w:pPr>
          </w:p>
        </w:tc>
        <w:tc>
          <w:tcPr>
            <w:tcW w:w="5811" w:type="dxa"/>
          </w:tcPr>
          <w:p w14:paraId="3C780DCA" w14:textId="77777777" w:rsidR="00D40FA1" w:rsidRDefault="00D40FA1">
            <w:pPr>
              <w:pBdr>
                <w:top w:val="nil"/>
                <w:left w:val="nil"/>
                <w:bottom w:val="nil"/>
                <w:right w:val="nil"/>
                <w:between w:val="nil"/>
              </w:pBdr>
              <w:rPr>
                <w:color w:val="000000"/>
              </w:rPr>
            </w:pPr>
          </w:p>
        </w:tc>
        <w:tc>
          <w:tcPr>
            <w:tcW w:w="2262" w:type="dxa"/>
            <w:vMerge/>
          </w:tcPr>
          <w:p w14:paraId="64B5DC91" w14:textId="77777777" w:rsidR="00D40FA1" w:rsidRDefault="00D40FA1">
            <w:pPr>
              <w:pBdr>
                <w:top w:val="nil"/>
                <w:left w:val="nil"/>
                <w:bottom w:val="nil"/>
                <w:right w:val="nil"/>
                <w:between w:val="nil"/>
              </w:pBdr>
              <w:rPr>
                <w:color w:val="000000"/>
              </w:rPr>
            </w:pPr>
          </w:p>
        </w:tc>
      </w:tr>
      <w:tr w:rsidR="00D40FA1" w14:paraId="7592C9B3" w14:textId="77777777">
        <w:trPr>
          <w:trHeight w:val="10040"/>
        </w:trPr>
        <w:tc>
          <w:tcPr>
            <w:tcW w:w="1555" w:type="dxa"/>
          </w:tcPr>
          <w:p w14:paraId="14B8644A" w14:textId="77777777" w:rsidR="00D40FA1" w:rsidRDefault="00D40FA1">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14:paraId="00EC287A" w14:textId="77777777" w:rsidR="00D40FA1" w:rsidRDefault="00D40FA1">
            <w:pPr>
              <w:rPr>
                <w:sz w:val="24"/>
                <w:szCs w:val="24"/>
              </w:rPr>
            </w:pPr>
          </w:p>
          <w:p w14:paraId="7ED98FA2" w14:textId="77777777" w:rsidR="00D40FA1" w:rsidRDefault="00A70DF1">
            <w:pPr>
              <w:spacing w:before="240" w:after="240"/>
              <w:rPr>
                <w:b/>
                <w:color w:val="1D266B"/>
                <w:sz w:val="32"/>
                <w:szCs w:val="32"/>
              </w:rPr>
            </w:pPr>
            <w:r>
              <w:rPr>
                <w:b/>
                <w:color w:val="1D266B"/>
                <w:sz w:val="32"/>
                <w:szCs w:val="32"/>
              </w:rPr>
              <w:t>Faglig relevans/kompetenceområder</w:t>
            </w:r>
          </w:p>
          <w:p w14:paraId="7B682658" w14:textId="77777777" w:rsidR="00D40FA1" w:rsidRDefault="00A70DF1">
            <w:pPr>
              <w:rPr>
                <w:sz w:val="24"/>
                <w:szCs w:val="24"/>
              </w:rPr>
            </w:pPr>
            <w:r>
              <w:rPr>
                <w:sz w:val="24"/>
                <w:szCs w:val="24"/>
              </w:rPr>
              <w:t>Idet materialesættet består af forskellige bøger og konkrete materialer er de faglige omdrejningspunkter oplagt ift. læsning, læseforståelse, ordforråd og mundtlig kommunikation.</w:t>
            </w:r>
          </w:p>
          <w:p w14:paraId="65940A4F" w14:textId="77777777" w:rsidR="00D40FA1" w:rsidRDefault="00A70DF1">
            <w:pPr>
              <w:spacing w:before="240"/>
              <w:rPr>
                <w:b/>
                <w:color w:val="1D266B"/>
                <w:sz w:val="32"/>
                <w:szCs w:val="32"/>
              </w:rPr>
            </w:pPr>
            <w:r>
              <w:rPr>
                <w:b/>
                <w:color w:val="1D266B"/>
                <w:sz w:val="32"/>
                <w:szCs w:val="32"/>
              </w:rPr>
              <w:t>Ideer til undervisningen</w:t>
            </w:r>
          </w:p>
          <w:p w14:paraId="7B5C5AC7" w14:textId="77777777" w:rsidR="00D40FA1" w:rsidRDefault="00A70DF1">
            <w:pPr>
              <w:spacing w:before="240" w:after="240"/>
              <w:rPr>
                <w:sz w:val="24"/>
                <w:szCs w:val="24"/>
              </w:rPr>
            </w:pPr>
            <w:r>
              <w:rPr>
                <w:sz w:val="24"/>
                <w:szCs w:val="24"/>
              </w:rPr>
              <w:t xml:space="preserve">Der er oplagt at lave forforståelsesopgaver, inden I går i gang med at arbejde med materialerne. Forforståelse kan fx handle om at aktivere elevernes ordforråd, om at lave hypoteser på (dele af) materialerne, eller at give en nødvendig viden om emnet, der kan gøre det nemmere for eleverne at forstå. Brug evt. tekster </w:t>
            </w:r>
            <w:hyperlink r:id="rId11">
              <w:r>
                <w:rPr>
                  <w:color w:val="1155CC"/>
                  <w:sz w:val="24"/>
                  <w:szCs w:val="24"/>
                  <w:u w:val="single"/>
                </w:rPr>
                <w:t xml:space="preserve">herfra </w:t>
              </w:r>
            </w:hyperlink>
            <w:r>
              <w:rPr>
                <w:sz w:val="24"/>
                <w:szCs w:val="24"/>
              </w:rPr>
              <w:t xml:space="preserve">til at få viden om ‘pirates’. </w:t>
            </w:r>
          </w:p>
          <w:p w14:paraId="21137B95" w14:textId="77777777" w:rsidR="00D40FA1" w:rsidRDefault="00A70DF1">
            <w:pPr>
              <w:spacing w:before="240" w:after="240"/>
              <w:rPr>
                <w:sz w:val="24"/>
                <w:szCs w:val="24"/>
              </w:rPr>
            </w:pPr>
            <w:r>
              <w:rPr>
                <w:sz w:val="24"/>
                <w:szCs w:val="24"/>
              </w:rPr>
              <w:t>Generelt må du tage stilling til, hvordan arbejdet med materialesættet skal organiseres i de forskellige faser, alt efter de mål, I har, hvilken elevgruppe det er, og de erfaringer eleverne har. Fx skal du afgøre, om eleverne både skal arbejde med skøn- og faglitteratur, og hvilken rolle de konkrete materialer skal spille, fx til korte, dramatiserede dialoger.</w:t>
            </w:r>
          </w:p>
          <w:p w14:paraId="0378BD34" w14:textId="77777777" w:rsidR="00D40FA1" w:rsidRDefault="00A70DF1">
            <w:pPr>
              <w:spacing w:before="240" w:after="240"/>
              <w:rPr>
                <w:sz w:val="24"/>
                <w:szCs w:val="24"/>
              </w:rPr>
            </w:pPr>
            <w:r>
              <w:rPr>
                <w:sz w:val="24"/>
                <w:szCs w:val="24"/>
              </w:rPr>
              <w:t xml:space="preserve">Fokus på ordforråd og chunks vil sikkert være vigtigt, så eleverne hurtigt kan komme i gang med at producere sprog. Overvej fx derfor, hvordan eleverne skal gennemføre og dele deres læsning af de respektive fag- og skønlitterære bøger. Deling kunne være i matrix-grupper, i klassen med præsentationer eller andre former for fremlæggelser. En afgørende pointe er fastholdelsen af ord og udtryk fra eget arbejde og fra det, eleverne får delt. </w:t>
            </w:r>
          </w:p>
          <w:p w14:paraId="49FF1E99" w14:textId="66065759" w:rsidR="00D40FA1" w:rsidRDefault="00A70DF1">
            <w:pPr>
              <w:spacing w:before="240" w:after="240"/>
              <w:rPr>
                <w:sz w:val="24"/>
                <w:szCs w:val="24"/>
              </w:rPr>
            </w:pPr>
            <w:r>
              <w:rPr>
                <w:sz w:val="24"/>
                <w:szCs w:val="24"/>
              </w:rPr>
              <w:t xml:space="preserve">En mulighed er også at inddrage individuel skriftlig kommunikation og fx lade eleverne arbejde med Book reports. </w:t>
            </w:r>
            <w:r>
              <w:rPr>
                <w:sz w:val="24"/>
                <w:szCs w:val="24"/>
              </w:rPr>
              <w:br/>
              <w:t xml:space="preserve">(se evt. inspiration her </w:t>
            </w:r>
            <w:hyperlink r:id="rId12">
              <w:r>
                <w:rPr>
                  <w:color w:val="1155CC"/>
                  <w:sz w:val="24"/>
                  <w:szCs w:val="24"/>
                  <w:u w:val="single"/>
                </w:rPr>
                <w:t>https://ucc.dk/cfu/fag/engelsk/ideer</w:t>
              </w:r>
            </w:hyperlink>
            <w:r>
              <w:rPr>
                <w:sz w:val="24"/>
                <w:szCs w:val="24"/>
              </w:rPr>
              <w:t>)</w:t>
            </w:r>
          </w:p>
          <w:p w14:paraId="5B45C1F3" w14:textId="77777777" w:rsidR="00D40FA1" w:rsidRDefault="00A70DF1">
            <w:pPr>
              <w:spacing w:before="240" w:after="240"/>
              <w:rPr>
                <w:b/>
                <w:color w:val="000066"/>
                <w:sz w:val="32"/>
                <w:szCs w:val="32"/>
              </w:rPr>
            </w:pPr>
            <w:r>
              <w:rPr>
                <w:b/>
                <w:color w:val="000066"/>
                <w:sz w:val="32"/>
                <w:szCs w:val="32"/>
              </w:rPr>
              <w:t>Evaluering af læringsmålene</w:t>
            </w:r>
          </w:p>
          <w:p w14:paraId="1E2E7679" w14:textId="77777777" w:rsidR="00D40FA1" w:rsidRDefault="00A70DF1">
            <w:pPr>
              <w:spacing w:before="240" w:line="276" w:lineRule="auto"/>
              <w:rPr>
                <w:color w:val="000066"/>
                <w:sz w:val="24"/>
                <w:szCs w:val="24"/>
              </w:rPr>
            </w:pPr>
            <w:r>
              <w:rPr>
                <w:color w:val="000066"/>
                <w:sz w:val="24"/>
                <w:szCs w:val="24"/>
              </w:rPr>
              <w:t xml:space="preserve">Når I er færdige med at arbejde med temaet, og eleverne har læst en eller flere bøger fra materialesættet, kunne en evaluering være at lade dem tage stilling til, hvordan de er lykkedes med læseforstålse og -kommunikation omkring </w:t>
            </w:r>
            <w:r>
              <w:rPr>
                <w:color w:val="000066"/>
                <w:sz w:val="24"/>
                <w:szCs w:val="24"/>
              </w:rPr>
              <w:lastRenderedPageBreak/>
              <w:t xml:space="preserve">indholdet, hvilken ny viden og nyt ordforråd/chunks, de har lært. Lad fx eleverne vha. eksempler komme med en status på, hvad de nu kan udtrykke sig om, ift. hvad de kunne tidligere. </w:t>
            </w:r>
          </w:p>
          <w:p w14:paraId="7783C8B6" w14:textId="77777777" w:rsidR="00D40FA1" w:rsidRDefault="00A70DF1">
            <w:pPr>
              <w:spacing w:before="240" w:line="276" w:lineRule="auto"/>
              <w:rPr>
                <w:b/>
                <w:color w:val="000066"/>
                <w:sz w:val="32"/>
                <w:szCs w:val="32"/>
              </w:rPr>
            </w:pPr>
            <w:r>
              <w:rPr>
                <w:b/>
                <w:color w:val="000066"/>
                <w:sz w:val="32"/>
                <w:szCs w:val="32"/>
              </w:rPr>
              <w:t>Supplerende materialer</w:t>
            </w:r>
          </w:p>
          <w:p w14:paraId="15B7D645" w14:textId="77777777" w:rsidR="00D40FA1" w:rsidRDefault="00A70DF1">
            <w:pPr>
              <w:spacing w:before="240" w:after="240"/>
              <w:rPr>
                <w:sz w:val="24"/>
                <w:szCs w:val="24"/>
              </w:rPr>
            </w:pPr>
            <w:r>
              <w:rPr>
                <w:sz w:val="24"/>
                <w:szCs w:val="24"/>
              </w:rPr>
              <w:t xml:space="preserve">Se denne </w:t>
            </w:r>
            <w:hyperlink r:id="rId13">
              <w:r>
                <w:rPr>
                  <w:color w:val="1155CC"/>
                  <w:sz w:val="24"/>
                  <w:szCs w:val="24"/>
                  <w:u w:val="single"/>
                </w:rPr>
                <w:t>Padlet</w:t>
              </w:r>
            </w:hyperlink>
            <w:r>
              <w:rPr>
                <w:sz w:val="24"/>
                <w:szCs w:val="24"/>
              </w:rPr>
              <w:t xml:space="preserve"> med yderligere materiale, fx en pirat-sang</w:t>
            </w:r>
          </w:p>
          <w:p w14:paraId="48A3DB20" w14:textId="77777777" w:rsidR="00D40FA1" w:rsidRDefault="00A70DF1">
            <w:pPr>
              <w:spacing w:before="240" w:after="240"/>
              <w:rPr>
                <w:sz w:val="24"/>
                <w:szCs w:val="24"/>
              </w:rPr>
            </w:pPr>
            <w:r>
              <w:rPr>
                <w:sz w:val="24"/>
                <w:szCs w:val="24"/>
              </w:rPr>
              <w:t>The Pirates next door (hertil er konkret vejledning)</w:t>
            </w:r>
          </w:p>
          <w:p w14:paraId="511A2E18" w14:textId="77777777" w:rsidR="00D40FA1" w:rsidRPr="00A70DF1" w:rsidRDefault="00A70DF1">
            <w:pPr>
              <w:spacing w:before="240" w:after="240"/>
              <w:rPr>
                <w:sz w:val="24"/>
                <w:szCs w:val="24"/>
                <w:lang w:val="en-US"/>
              </w:rPr>
            </w:pPr>
            <w:r w:rsidRPr="00A70DF1">
              <w:rPr>
                <w:sz w:val="24"/>
                <w:szCs w:val="24"/>
                <w:lang w:val="en-US"/>
              </w:rPr>
              <w:t>Pirates Fact Finder</w:t>
            </w:r>
          </w:p>
          <w:p w14:paraId="746735E4" w14:textId="77777777" w:rsidR="00D40FA1" w:rsidRPr="00A70DF1" w:rsidRDefault="00A70DF1">
            <w:pPr>
              <w:spacing w:before="240" w:after="240"/>
              <w:rPr>
                <w:sz w:val="24"/>
                <w:szCs w:val="24"/>
                <w:lang w:val="en-US"/>
              </w:rPr>
            </w:pPr>
            <w:r w:rsidRPr="00A70DF1">
              <w:rPr>
                <w:sz w:val="24"/>
                <w:szCs w:val="24"/>
                <w:lang w:val="en-US"/>
              </w:rPr>
              <w:t>The Pirate Handbook Wings</w:t>
            </w:r>
          </w:p>
          <w:p w14:paraId="368B709A" w14:textId="77777777" w:rsidR="00D40FA1" w:rsidRDefault="00A70DF1">
            <w:pPr>
              <w:spacing w:before="240" w:after="240"/>
              <w:rPr>
                <w:sz w:val="24"/>
                <w:szCs w:val="24"/>
              </w:rPr>
            </w:pPr>
            <w:r>
              <w:rPr>
                <w:sz w:val="24"/>
                <w:szCs w:val="24"/>
              </w:rPr>
              <w:t>Piraterne, animationsfilm</w:t>
            </w:r>
          </w:p>
          <w:p w14:paraId="1E6B98B1" w14:textId="77777777" w:rsidR="00D40FA1" w:rsidRDefault="00A70DF1">
            <w:pPr>
              <w:spacing w:before="240" w:after="240"/>
              <w:rPr>
                <w:sz w:val="24"/>
                <w:szCs w:val="24"/>
              </w:rPr>
            </w:pPr>
            <w:r>
              <w:rPr>
                <w:sz w:val="24"/>
                <w:szCs w:val="24"/>
              </w:rPr>
              <w:t>Ønskeøen 1 og 2</w:t>
            </w:r>
          </w:p>
          <w:p w14:paraId="20CD827D" w14:textId="77777777" w:rsidR="00D40FA1" w:rsidRDefault="00A70DF1">
            <w:pPr>
              <w:spacing w:before="240" w:after="240"/>
              <w:rPr>
                <w:sz w:val="24"/>
                <w:szCs w:val="24"/>
              </w:rPr>
            </w:pPr>
            <w:r>
              <w:rPr>
                <w:sz w:val="24"/>
                <w:szCs w:val="24"/>
              </w:rPr>
              <w:t>Pan, spillefilm</w:t>
            </w:r>
          </w:p>
          <w:p w14:paraId="0713B421" w14:textId="77777777" w:rsidR="00D40FA1" w:rsidRDefault="00D40FA1">
            <w:pPr>
              <w:spacing w:before="240" w:after="240"/>
              <w:rPr>
                <w:sz w:val="24"/>
                <w:szCs w:val="24"/>
              </w:rPr>
            </w:pPr>
          </w:p>
          <w:p w14:paraId="19F20ABE" w14:textId="77777777" w:rsidR="00D40FA1" w:rsidRDefault="00D40FA1">
            <w:pPr>
              <w:spacing w:before="240" w:after="240"/>
              <w:rPr>
                <w:rFonts w:ascii="Arial" w:eastAsia="Arial" w:hAnsi="Arial" w:cs="Arial"/>
                <w:sz w:val="20"/>
                <w:szCs w:val="20"/>
              </w:rPr>
            </w:pPr>
          </w:p>
        </w:tc>
      </w:tr>
    </w:tbl>
    <w:p w14:paraId="1B50DE74" w14:textId="77777777" w:rsidR="00D40FA1" w:rsidRDefault="00D40FA1">
      <w:pPr>
        <w:tabs>
          <w:tab w:val="left" w:pos="1304"/>
          <w:tab w:val="left" w:pos="8745"/>
        </w:tabs>
      </w:pPr>
    </w:p>
    <w:p w14:paraId="0872B686" w14:textId="77777777" w:rsidR="00D40FA1" w:rsidRDefault="00D40FA1"/>
    <w:sectPr w:rsidR="00D40FA1">
      <w:headerReference w:type="default" r:id="rId14"/>
      <w:footerReference w:type="default" r:id="rId15"/>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E2D45" w14:textId="77777777" w:rsidR="004B7AF6" w:rsidRDefault="004B7AF6">
      <w:pPr>
        <w:spacing w:after="0"/>
      </w:pPr>
      <w:r>
        <w:separator/>
      </w:r>
    </w:p>
  </w:endnote>
  <w:endnote w:type="continuationSeparator" w:id="0">
    <w:p w14:paraId="4F9940F9" w14:textId="77777777" w:rsidR="004B7AF6" w:rsidRDefault="004B7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1A77" w14:textId="77777777" w:rsidR="00D40FA1" w:rsidRDefault="004B7AF6">
    <w:pPr>
      <w:pBdr>
        <w:top w:val="nil"/>
        <w:left w:val="nil"/>
        <w:bottom w:val="nil"/>
        <w:right w:val="nil"/>
        <w:between w:val="nil"/>
      </w:pBdr>
      <w:tabs>
        <w:tab w:val="center" w:pos="4819"/>
        <w:tab w:val="right" w:pos="9638"/>
      </w:tabs>
      <w:spacing w:after="0"/>
      <w:rPr>
        <w:color w:val="000000"/>
      </w:rPr>
    </w:pPr>
    <w:r>
      <w:pict w14:anchorId="335C459C">
        <v:rect id="_x0000_i1026" style="width:0;height:1.5pt" o:hralign="center" o:hrstd="t" o:hr="t" fillcolor="#a0a0a0" stroked="f"/>
      </w:pict>
    </w:r>
  </w:p>
  <w:p w14:paraId="02872199" w14:textId="77777777" w:rsidR="00D40FA1" w:rsidRDefault="00A70DF1">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Christina Hellensberg</w:t>
    </w:r>
    <w:r>
      <w:rPr>
        <w:color w:val="000000"/>
        <w:sz w:val="18"/>
        <w:szCs w:val="18"/>
      </w:rPr>
      <w:t xml:space="preserve">, CFU </w:t>
    </w:r>
    <w:r>
      <w:rPr>
        <w:sz w:val="18"/>
        <w:szCs w:val="18"/>
      </w:rPr>
      <w:t>KP</w:t>
    </w:r>
    <w:r>
      <w:rPr>
        <w:color w:val="000000"/>
        <w:sz w:val="18"/>
        <w:szCs w:val="18"/>
      </w:rPr>
      <w:t xml:space="preserve">, </w:t>
    </w:r>
    <w:r>
      <w:rPr>
        <w:sz w:val="18"/>
        <w:szCs w:val="18"/>
      </w:rPr>
      <w:t>november 2019</w:t>
    </w:r>
  </w:p>
  <w:p w14:paraId="1520A04F" w14:textId="77777777" w:rsidR="00D40FA1" w:rsidRDefault="00A70DF1">
    <w:pPr>
      <w:pBdr>
        <w:top w:val="nil"/>
        <w:left w:val="nil"/>
        <w:bottom w:val="nil"/>
        <w:right w:val="nil"/>
        <w:between w:val="nil"/>
      </w:pBdr>
      <w:tabs>
        <w:tab w:val="center" w:pos="4819"/>
        <w:tab w:val="right" w:pos="9638"/>
      </w:tabs>
      <w:spacing w:after="0"/>
    </w:pPr>
    <w:r>
      <w:rPr>
        <w:sz w:val="18"/>
        <w:szCs w:val="18"/>
      </w:rPr>
      <w:t>Pirates - Topic Box</w:t>
    </w:r>
    <w:r>
      <w:tab/>
    </w:r>
    <w:r>
      <w:tab/>
    </w:r>
    <w:r>
      <w:rPr>
        <w:noProof/>
      </w:rPr>
      <w:drawing>
        <wp:inline distT="114300" distB="114300" distL="114300" distR="114300" wp14:anchorId="75E73135" wp14:editId="4157BFA8">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FB2B33F" w14:textId="31E99009" w:rsidR="00D40FA1" w:rsidRDefault="00A70DF1">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777A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77C3D" w14:textId="77777777" w:rsidR="004B7AF6" w:rsidRDefault="004B7AF6">
      <w:pPr>
        <w:spacing w:after="0"/>
      </w:pPr>
      <w:r>
        <w:separator/>
      </w:r>
    </w:p>
  </w:footnote>
  <w:footnote w:type="continuationSeparator" w:id="0">
    <w:p w14:paraId="251E1C8A" w14:textId="77777777" w:rsidR="004B7AF6" w:rsidRDefault="004B7A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B76C" w14:textId="7E8776F4" w:rsidR="00D40FA1" w:rsidRDefault="00A70DF1">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B30B65" w:rsidRPr="00B30B65">
      <w:rPr>
        <w:color w:val="0000FF"/>
        <w:u w:val="single"/>
      </w:rPr>
      <w:t>9 001 367 2</w:t>
    </w:r>
    <w:r>
      <w:rPr>
        <w:noProof/>
      </w:rPr>
      <w:drawing>
        <wp:anchor distT="0" distB="0" distL="114300" distR="114300" simplePos="0" relativeHeight="251658240" behindDoc="0" locked="0" layoutInCell="1" hidden="0" allowOverlap="1" wp14:anchorId="36379B73" wp14:editId="0E535256">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4259A531" w14:textId="77777777" w:rsidR="00D40FA1" w:rsidRDefault="004B7AF6">
    <w:pPr>
      <w:pBdr>
        <w:top w:val="nil"/>
        <w:left w:val="nil"/>
        <w:bottom w:val="nil"/>
        <w:right w:val="nil"/>
        <w:between w:val="nil"/>
      </w:pBdr>
      <w:tabs>
        <w:tab w:val="center" w:pos="4819"/>
        <w:tab w:val="right" w:pos="9638"/>
      </w:tabs>
      <w:spacing w:after="0"/>
      <w:jc w:val="right"/>
      <w:rPr>
        <w:color w:val="000000"/>
      </w:rPr>
    </w:pPr>
    <w:r>
      <w:pict w14:anchorId="2D8A72A1">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A1"/>
    <w:rsid w:val="004B7AF6"/>
    <w:rsid w:val="00777A6A"/>
    <w:rsid w:val="00A70DF1"/>
    <w:rsid w:val="00B30B65"/>
    <w:rsid w:val="00D40FA1"/>
    <w:rsid w:val="00DD63BB"/>
    <w:rsid w:val="00E1780C"/>
    <w:rsid w:val="00E53AC6"/>
    <w:rsid w:val="00F933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03932"/>
  <w15:docId w15:val="{E10D6052-90E2-486E-A8A9-50E82D2D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B30B65"/>
    <w:pPr>
      <w:tabs>
        <w:tab w:val="center" w:pos="4819"/>
        <w:tab w:val="right" w:pos="9638"/>
      </w:tabs>
      <w:spacing w:after="0"/>
    </w:pPr>
  </w:style>
  <w:style w:type="character" w:customStyle="1" w:styleId="SidehovedTegn">
    <w:name w:val="Sidehoved Tegn"/>
    <w:basedOn w:val="Standardskrifttypeiafsnit"/>
    <w:link w:val="Sidehoved"/>
    <w:uiPriority w:val="99"/>
    <w:rsid w:val="00B30B65"/>
  </w:style>
  <w:style w:type="paragraph" w:styleId="Sidefod">
    <w:name w:val="footer"/>
    <w:basedOn w:val="Normal"/>
    <w:link w:val="SidefodTegn"/>
    <w:uiPriority w:val="99"/>
    <w:unhideWhenUsed/>
    <w:rsid w:val="00B30B65"/>
    <w:pPr>
      <w:tabs>
        <w:tab w:val="center" w:pos="4819"/>
        <w:tab w:val="right" w:pos="9638"/>
      </w:tabs>
      <w:spacing w:after="0"/>
    </w:pPr>
  </w:style>
  <w:style w:type="character" w:customStyle="1" w:styleId="SidefodTegn">
    <w:name w:val="Sidefod Tegn"/>
    <w:basedOn w:val="Standardskrifttypeiafsnit"/>
    <w:link w:val="Sidefod"/>
    <w:uiPriority w:val="99"/>
    <w:rsid w:val="00B3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padlet.com/christina_helle/4l9vc72yr3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ucc.dk/cfu/fag/engelsk/ide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mewarptrio.com/teachers-parents/lessons/pdf/twt-lesson-pirate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4ce3fd6a6bc49769470485175fd237e4">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3a3c98f95641278a68e7fd6d73e74065"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B7B34-6E86-4DC7-9C81-4A117936BE5D}">
  <ds:schemaRefs>
    <ds:schemaRef ds:uri="http://schemas.microsoft.com/sharepoint/v3/contenttype/forms"/>
  </ds:schemaRefs>
</ds:datastoreItem>
</file>

<file path=customXml/itemProps2.xml><?xml version="1.0" encoding="utf-8"?>
<ds:datastoreItem xmlns:ds="http://schemas.openxmlformats.org/officeDocument/2006/customXml" ds:itemID="{F9081F60-C3E3-44D4-94AE-BAEE05AF3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E7D09-CB3C-4DE7-92A7-61EB14F008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Silke Sønderbæk</dc:creator>
  <cp:lastModifiedBy>Karin Abrahamsen (KAAB) | VIA</cp:lastModifiedBy>
  <cp:revision>2</cp:revision>
  <dcterms:created xsi:type="dcterms:W3CDTF">2020-02-17T11:48:00Z</dcterms:created>
  <dcterms:modified xsi:type="dcterms:W3CDTF">2020-02-17T11:48:00Z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